
<file path=[Content_Types].xml><?xml version="1.0" encoding="utf-8"?>
<Types xmlns="http://schemas.openxmlformats.org/package/2006/content-types">
  <Default Extension="xml" ContentType="application/xml"/>
  <Default Extension="tiff" ContentType="image/tif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Layout w:type="fixed"/>
        <w:tblCellMar>
          <w:top w:w="0" w:type="dxa"/>
          <w:left w:w="0" w:type="dxa"/>
          <w:bottom w:w="0" w:type="dxa"/>
          <w:right w:w="0" w:type="dxa"/>
        </w:tblCellMar>
      </w:tblPr>
      <w:tblGrid>
        <w:gridCol w:w="509"/>
        <w:gridCol w:w="8855"/>
      </w:tblGrid>
      <w:tr w14:paraId="411CA95D">
        <w:tblPrEx>
          <w:tblCellMar>
            <w:top w:w="0" w:type="dxa"/>
            <w:left w:w="0" w:type="dxa"/>
            <w:bottom w:w="0" w:type="dxa"/>
            <w:right w:w="0" w:type="dxa"/>
          </w:tblCellMar>
        </w:tblPrEx>
        <w:tc>
          <w:tcPr>
            <w:tcW w:w="509" w:type="dxa"/>
            <w:noWrap w:val="0"/>
            <w:vAlign w:val="top"/>
          </w:tcPr>
          <w:p w14:paraId="32A9718E">
            <w:pPr>
              <w:pStyle w:val="19"/>
              <w:framePr w:wrap="notBeside" w:vAnchor="page" w:hAnchor="page" w:x="1372" w:y="568"/>
              <w:tabs>
                <w:tab w:val="clear" w:pos="4153"/>
                <w:tab w:val="clear" w:pos="8306"/>
              </w:tabs>
              <w:spacing w:line="240" w:lineRule="auto"/>
              <w:jc w:val="left"/>
              <w:rPr>
                <w:rFonts w:ascii="黑体" w:eastAsia="黑体"/>
                <w:sz w:val="21"/>
                <w:szCs w:val="21"/>
              </w:rPr>
            </w:pPr>
            <w:r>
              <w:rPr>
                <w:rFonts w:ascii="Times New Roman" w:hAnsi="Times New Roman" w:eastAsia="黑体"/>
                <w:sz w:val="21"/>
                <w:szCs w:val="21"/>
              </w:rPr>
              <w:t>ICS</w:t>
            </w:r>
            <w:r>
              <w:rPr>
                <w:rFonts w:ascii="黑体" w:eastAsia="黑体"/>
                <w:sz w:val="21"/>
                <w:szCs w:val="21"/>
              </w:rPr>
              <w:t xml:space="preserve">  </w:t>
            </w:r>
          </w:p>
        </w:tc>
        <w:tc>
          <w:tcPr>
            <w:tcW w:w="8855" w:type="dxa"/>
            <w:noWrap w:val="0"/>
            <w:vAlign w:val="top"/>
          </w:tcPr>
          <w:p w14:paraId="41B9058E">
            <w:pPr>
              <w:pStyle w:val="19"/>
              <w:framePr w:wrap="notBeside" w:vAnchor="page" w:hAnchor="page" w:x="1372" w:y="568"/>
              <w:tabs>
                <w:tab w:val="clear" w:pos="4153"/>
                <w:tab w:val="clear" w:pos="8306"/>
              </w:tabs>
              <w:spacing w:line="240" w:lineRule="auto"/>
              <w:jc w:val="both"/>
              <w:rPr>
                <w:rFonts w:ascii="黑体" w:eastAsia="黑体"/>
                <w:sz w:val="21"/>
                <w:szCs w:val="21"/>
              </w:rPr>
            </w:pPr>
            <w:bookmarkStart w:id="0" w:name="ICS"/>
            <w:r>
              <w:rPr>
                <w:rFonts w:ascii="黑体" w:eastAsia="黑体"/>
                <w:sz w:val="21"/>
                <w:szCs w:val="21"/>
              </w:rPr>
              <w:fldChar w:fldCharType="begin">
                <w:ffData>
                  <w:name w:val="ICS"/>
                  <w:enabled/>
                  <w:calcOnExit w:val="0"/>
                  <w:textInput>
                    <w:default w:val="点击此处添加ICS号"/>
                  </w:textInput>
                </w:ffData>
              </w:fldChar>
            </w:r>
            <w:r>
              <w:rPr>
                <w:rFonts w:ascii="黑体" w:eastAsia="黑体"/>
                <w:sz w:val="21"/>
                <w:szCs w:val="21"/>
              </w:rPr>
              <w:instrText xml:space="preserve"> FORMTEXT </w:instrText>
            </w:r>
            <w:r>
              <w:rPr>
                <w:rFonts w:ascii="黑体" w:eastAsia="黑体"/>
                <w:sz w:val="21"/>
                <w:szCs w:val="21"/>
              </w:rPr>
              <w:fldChar w:fldCharType="separate"/>
            </w:r>
            <w:r>
              <w:rPr>
                <w:rFonts w:ascii="黑体" w:eastAsia="黑体"/>
                <w:sz w:val="21"/>
                <w:szCs w:val="21"/>
              </w:rPr>
              <w:t>13.030.01</w:t>
            </w:r>
            <w:r>
              <w:rPr>
                <w:rFonts w:ascii="黑体" w:eastAsia="黑体"/>
                <w:sz w:val="21"/>
                <w:szCs w:val="21"/>
              </w:rPr>
              <w:fldChar w:fldCharType="end"/>
            </w:r>
            <w:bookmarkEnd w:id="0"/>
          </w:p>
        </w:tc>
      </w:tr>
      <w:tr w14:paraId="0ACA60C8">
        <w:tblPrEx>
          <w:tblCellMar>
            <w:top w:w="0" w:type="dxa"/>
            <w:left w:w="0" w:type="dxa"/>
            <w:bottom w:w="0" w:type="dxa"/>
            <w:right w:w="0" w:type="dxa"/>
          </w:tblCellMar>
        </w:tblPrEx>
        <w:tc>
          <w:tcPr>
            <w:tcW w:w="509" w:type="dxa"/>
            <w:noWrap w:val="0"/>
            <w:vAlign w:val="top"/>
          </w:tcPr>
          <w:p w14:paraId="004337EF">
            <w:pPr>
              <w:pStyle w:val="19"/>
              <w:framePr w:wrap="notBeside" w:vAnchor="page" w:hAnchor="page" w:x="1372" w:y="568"/>
              <w:tabs>
                <w:tab w:val="clear" w:pos="4153"/>
                <w:tab w:val="clear" w:pos="8306"/>
              </w:tabs>
              <w:spacing w:before="40" w:line="240" w:lineRule="auto"/>
              <w:jc w:val="left"/>
              <w:rPr>
                <w:rFonts w:ascii="黑体" w:eastAsia="黑体"/>
                <w:sz w:val="21"/>
                <w:szCs w:val="21"/>
              </w:rPr>
            </w:pPr>
            <w:r>
              <w:rPr>
                <w:rFonts w:ascii="Times New Roman" w:hAnsi="Times New Roman" w:eastAsia="黑体"/>
                <w:sz w:val="21"/>
                <w:szCs w:val="21"/>
              </w:rPr>
              <w:t xml:space="preserve">CCS </w:t>
            </w:r>
            <w:r>
              <w:rPr>
                <w:rFonts w:ascii="黑体" w:eastAsia="黑体"/>
                <w:sz w:val="21"/>
                <w:szCs w:val="21"/>
              </w:rPr>
              <w:t xml:space="preserve"> </w:t>
            </w:r>
          </w:p>
        </w:tc>
        <w:tc>
          <w:tcPr>
            <w:tcW w:w="8855" w:type="dxa"/>
            <w:noWrap w:val="0"/>
            <w:vAlign w:val="top"/>
          </w:tcPr>
          <w:p w14:paraId="21B194D9">
            <w:pPr>
              <w:pStyle w:val="19"/>
              <w:framePr w:wrap="notBeside" w:vAnchor="page" w:hAnchor="page" w:x="1372" w:y="568"/>
              <w:tabs>
                <w:tab w:val="clear" w:pos="4153"/>
                <w:tab w:val="clear" w:pos="8306"/>
              </w:tabs>
              <w:spacing w:before="40" w:line="240" w:lineRule="auto"/>
              <w:jc w:val="left"/>
              <w:rPr>
                <w:rFonts w:ascii="黑体" w:eastAsia="黑体"/>
                <w:sz w:val="21"/>
                <w:szCs w:val="21"/>
              </w:rPr>
            </w:pPr>
            <w:bookmarkStart w:id="1" w:name="CSDN"/>
            <w:r>
              <w:rPr>
                <w:rFonts w:ascii="黑体" w:eastAsia="黑体"/>
                <w:sz w:val="21"/>
                <w:szCs w:val="21"/>
              </w:rPr>
              <w:fldChar w:fldCharType="begin">
                <w:ffData>
                  <w:name w:val="CSDN"/>
                  <w:enabled/>
                  <w:calcOnExit w:val="0"/>
                  <w:textInput>
                    <w:default w:val="点击此处添加CCS号"/>
                  </w:textInput>
                </w:ffData>
              </w:fldChar>
            </w:r>
            <w:r>
              <w:rPr>
                <w:rFonts w:ascii="黑体" w:eastAsia="黑体"/>
                <w:sz w:val="21"/>
                <w:szCs w:val="21"/>
              </w:rPr>
              <w:instrText xml:space="preserve"> FORMTEXT </w:instrText>
            </w:r>
            <w:r>
              <w:rPr>
                <w:rFonts w:ascii="黑体" w:eastAsia="黑体"/>
                <w:sz w:val="21"/>
                <w:szCs w:val="21"/>
              </w:rPr>
              <w:fldChar w:fldCharType="separate"/>
            </w:r>
            <w:r>
              <w:rPr>
                <w:rFonts w:ascii="Times New Roman" w:hAnsi="Times New Roman" w:eastAsia="黑体"/>
                <w:sz w:val="21"/>
                <w:szCs w:val="21"/>
              </w:rPr>
              <w:t>Z</w:t>
            </w:r>
            <w:r>
              <w:rPr>
                <w:rFonts w:ascii="黑体" w:eastAsia="黑体"/>
                <w:sz w:val="21"/>
                <w:szCs w:val="21"/>
              </w:rPr>
              <w:t xml:space="preserve"> 10</w:t>
            </w:r>
            <w:r>
              <w:rPr>
                <w:rFonts w:ascii="黑体" w:eastAsia="黑体"/>
                <w:sz w:val="21"/>
                <w:szCs w:val="21"/>
              </w:rPr>
              <w:fldChar w:fldCharType="end"/>
            </w:r>
            <w:bookmarkEnd w:id="1"/>
          </w:p>
        </w:tc>
      </w:tr>
    </w:tbl>
    <w:p w14:paraId="26260207">
      <w:pPr>
        <w:rPr>
          <w:vanish/>
        </w:rPr>
      </w:pPr>
      <w:bookmarkStart w:id="2" w:name="_Hlk26473981"/>
    </w:p>
    <w:tbl>
      <w:tblPr>
        <w:tblStyle w:val="28"/>
        <w:tblpPr w:leftFromText="180" w:rightFromText="180" w:vertAnchor="text" w:horzAnchor="margin" w:tblpX="2683" w:tblpY="578"/>
        <w:tblW w:w="6661"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661"/>
      </w:tblGrid>
      <w:tr w14:paraId="363C0D7D">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661" w:type="dxa"/>
            <w:noWrap w:val="0"/>
            <w:vAlign w:val="top"/>
          </w:tcPr>
          <w:p w14:paraId="6816B004">
            <w:pPr>
              <w:pStyle w:val="36"/>
              <w:framePr w:w="0" w:hRule="auto" w:wrap="auto" w:vAnchor="margin" w:hAnchor="text" w:xAlign="left" w:yAlign="inline"/>
              <w:rPr>
                <w:rFonts w:ascii="宋体"/>
                <w:sz w:val="28"/>
                <w:szCs w:val="28"/>
              </w:rPr>
            </w:pPr>
            <w:r>
              <w:drawing>
                <wp:inline distT="0" distB="0" distL="114300" distR="114300">
                  <wp:extent cx="795655" cy="396875"/>
                  <wp:effectExtent l="0" t="0" r="4445" b="952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24"/>
                          <a:stretch>
                            <a:fillRect/>
                          </a:stretch>
                        </pic:blipFill>
                        <pic:spPr>
                          <a:xfrm>
                            <a:off x="0" y="0"/>
                            <a:ext cx="795655" cy="396875"/>
                          </a:xfrm>
                          <a:prstGeom prst="rect">
                            <a:avLst/>
                          </a:prstGeom>
                          <a:noFill/>
                          <a:ln>
                            <a:noFill/>
                          </a:ln>
                        </pic:spPr>
                      </pic:pic>
                    </a:graphicData>
                  </a:graphic>
                </wp:inline>
              </w:drawing>
            </w:r>
            <w:r>
              <w:rPr>
                <w:sz w:val="21"/>
                <w:szCs w:val="21"/>
              </w:rPr>
              <w:t xml:space="preserve"> </w:t>
            </w:r>
            <w:bookmarkStart w:id="3" w:name="c1"/>
            <w:r>
              <w:fldChar w:fldCharType="begin">
                <w:ffData>
                  <w:name w:val="c1"/>
                  <w:enabled/>
                  <w:calcOnExit w:val="0"/>
                  <w:textInput>
                    <w:maxLength w:val="8"/>
                  </w:textInput>
                </w:ffData>
              </w:fldChar>
            </w:r>
            <w:r>
              <w:instrText xml:space="preserve"> FORMTEXT </w:instrText>
            </w:r>
            <w:r>
              <w:fldChar w:fldCharType="separate"/>
            </w:r>
            <w:r>
              <w:t>34</w:t>
            </w:r>
            <w:r>
              <w:fldChar w:fldCharType="end"/>
            </w:r>
            <w:bookmarkEnd w:id="3"/>
          </w:p>
        </w:tc>
      </w:tr>
    </w:tbl>
    <w:p w14:paraId="1403F79C">
      <w:pPr>
        <w:pStyle w:val="37"/>
        <w:framePr w:w="9639" w:h="624" w:hRule="exact" w:hSpace="181" w:vSpace="181" w:vAnchor="text" w:hAnchor="page" w:x="1305" w:y="2269"/>
        <w:rPr>
          <w:rFonts w:ascii="黑体" w:eastAsia="黑体"/>
          <w:b w:val="0"/>
          <w:bCs w:val="0"/>
          <w:w w:val="100"/>
          <w:sz w:val="48"/>
          <w:szCs w:val="48"/>
        </w:rPr>
      </w:pPr>
      <w:bookmarkStart w:id="4" w:name="c2"/>
      <w:r>
        <w:rPr>
          <w:rFonts w:ascii="黑体" w:eastAsia="黑体"/>
          <w:b w:val="0"/>
          <w:w w:val="100"/>
          <w:sz w:val="48"/>
        </w:rPr>
        <w:fldChar w:fldCharType="begin">
          <w:ffData>
            <w:name w:val="c2"/>
            <w:enabled/>
            <w:calcOnExit w:val="0"/>
            <w:textInput/>
          </w:ffData>
        </w:fldChar>
      </w:r>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eastAsia="黑体"/>
          <w:b w:val="0"/>
          <w:bCs w:val="0"/>
          <w:w w:val="100"/>
          <w:sz w:val="48"/>
          <w:szCs w:val="48"/>
        </w:rPr>
        <w:t>地方标准</w:t>
      </w:r>
    </w:p>
    <w:bookmarkEnd w:id="2"/>
    <w:p w14:paraId="44A0D970">
      <w:pPr>
        <w:pStyle w:val="179"/>
        <w:rPr>
          <w:lang w:val="fr-FR"/>
        </w:rPr>
      </w:pPr>
      <w:r>
        <w:rPr>
          <w:lang w:val="fr-FR"/>
        </w:rPr>
        <w:t>DB</w:t>
      </w:r>
      <w:r>
        <w:rPr>
          <w:sz w:val="15"/>
          <w:szCs w:val="15"/>
          <w:lang w:val="fr-FR"/>
        </w:rPr>
        <w:t xml:space="preserve"> </w:t>
      </w:r>
      <w:bookmarkStart w:id="5" w:name="文字1"/>
      <w:r>
        <w:rPr>
          <w:lang w:val="fr-FR"/>
        </w:rPr>
        <w:fldChar w:fldCharType="begin">
          <w:ffData>
            <w:name w:val="文字1"/>
            <w:enabled/>
            <w:calcOnExit w:val="0"/>
            <w:textInput>
              <w:default w:val="XX/T"/>
            </w:textInput>
          </w:ffData>
        </w:fldChar>
      </w:r>
      <w:r>
        <w:rPr>
          <w:lang w:val="fr-FR"/>
        </w:rPr>
        <w:instrText xml:space="preserve"> FORMTEXT </w:instrText>
      </w:r>
      <w:r>
        <w:fldChar w:fldCharType="separate"/>
      </w:r>
      <w:r>
        <w:t>34</w:t>
      </w:r>
      <w:r>
        <w:rPr>
          <w:lang w:val="fr-FR"/>
        </w:rPr>
        <w:t>/T</w:t>
      </w:r>
      <w:r>
        <w:fldChar w:fldCharType="end"/>
      </w:r>
      <w:bookmarkEnd w:id="5"/>
      <w:r>
        <w:rPr>
          <w:lang w:val="fr-FR"/>
        </w:rPr>
        <w:t xml:space="preserve"> </w:t>
      </w:r>
      <w:bookmarkStart w:id="6" w:name="NSTD_CODE_F"/>
      <w:r>
        <w:rPr>
          <w:lang w:val="fr-FR"/>
        </w:rPr>
        <w:fldChar w:fldCharType="begin">
          <w:ffData>
            <w:name w:val="NSTD_CODE_F"/>
            <w:enabled/>
            <w:calcOnExit w:val="0"/>
            <w:textInput>
              <w:default w:val="XXXX"/>
            </w:textInput>
          </w:ffData>
        </w:fldChar>
      </w:r>
      <w:r>
        <w:rPr>
          <w:lang w:val="fr-FR"/>
        </w:rPr>
        <w:instrText xml:space="preserve"> FORMTEXT </w:instrText>
      </w:r>
      <w:r>
        <w:fldChar w:fldCharType="separate"/>
      </w:r>
      <w:r>
        <w:rPr>
          <w:lang w:val="fr-FR"/>
        </w:rPr>
        <w:t>XXXX</w:t>
      </w:r>
      <w:r>
        <w:fldChar w:fldCharType="end"/>
      </w:r>
      <w:bookmarkEnd w:id="6"/>
      <w:r>
        <w:rPr>
          <w:lang w:val="fr-FR"/>
        </w:rPr>
        <w:t>—</w:t>
      </w:r>
      <w:bookmarkStart w:id="7" w:name="NSTD_CODE_B"/>
      <w:r>
        <w:fldChar w:fldCharType="begin">
          <w:ffData>
            <w:name w:val="NSTD_CODE_B"/>
            <w:enabled/>
            <w:calcOnExit w:val="0"/>
            <w:textInput>
              <w:default w:val="202X"/>
            </w:textInput>
          </w:ffData>
        </w:fldChar>
      </w:r>
      <w:r>
        <w:instrText xml:space="preserve"> FORMTEXT </w:instrText>
      </w:r>
      <w:r>
        <w:fldChar w:fldCharType="separate"/>
      </w:r>
      <w:r>
        <w:t>202X</w:t>
      </w:r>
      <w:r>
        <w:fldChar w:fldCharType="end"/>
      </w:r>
      <w:bookmarkEnd w:id="7"/>
    </w:p>
    <w:p w14:paraId="47D61B36">
      <w:pPr>
        <w:pStyle w:val="180"/>
      </w:pPr>
      <w:bookmarkStart w:id="8" w:name="OSTD_CODE"/>
      <w:r>
        <w:fldChar w:fldCharType="begin">
          <w:ffData>
            <w:name w:val="OSTD_CODE"/>
            <w:enabled/>
            <w:calcOnExit w:val="0"/>
            <w:textInput/>
          </w:ffData>
        </w:fldChar>
      </w:r>
      <w:r>
        <w:instrText xml:space="preserve"> FORMTEXT </w:instrText>
      </w:r>
      <w:r>
        <w:fldChar w:fldCharType="separate"/>
      </w:r>
      <w:r>
        <w:t>     </w:t>
      </w:r>
      <w:r>
        <w:fldChar w:fldCharType="end"/>
      </w:r>
      <w:bookmarkEnd w:id="8"/>
    </w:p>
    <w:p w14:paraId="41F836F0">
      <w:pPr>
        <w:spacing w:line="240" w:lineRule="auto"/>
        <w:rPr>
          <w:rFonts w:ascii="黑体" w:eastAsia="黑体"/>
          <w:kern w:val="0"/>
          <w:sz w:val="10"/>
          <w:szCs w:val="10"/>
        </w:rPr>
      </w:pPr>
      <w:r>
        <w:rPr>
          <w:rFonts w:ascii="黑体" w:eastAsia="黑体"/>
          <w:kern w:val="0"/>
          <w:sz w:val="10"/>
          <w:szCs w:val="10"/>
        </w:rPr>
        <mc:AlternateContent>
          <mc:Choice Requires="wps">
            <w:drawing>
              <wp:anchor distT="0" distB="0" distL="113665" distR="113665" simplePos="0" relativeHeight="251659264" behindDoc="0" locked="0" layoutInCell="1" allowOverlap="0">
                <wp:simplePos x="0" y="0"/>
                <wp:positionH relativeFrom="page">
                  <wp:posOffset>899795</wp:posOffset>
                </wp:positionH>
                <wp:positionV relativeFrom="page">
                  <wp:posOffset>2700020</wp:posOffset>
                </wp:positionV>
                <wp:extent cx="6120130" cy="635"/>
                <wp:effectExtent l="0" t="0" r="0" b="0"/>
                <wp:wrapNone/>
                <wp:docPr id="4" name="直接连接符 73"/>
                <wp:cNvGraphicFramePr/>
                <a:graphic xmlns:a="http://schemas.openxmlformats.org/drawingml/2006/main">
                  <a:graphicData uri="http://schemas.microsoft.com/office/word/2010/wordprocessingShape">
                    <wps:wsp>
                      <wps:cNvCnPr/>
                      <wps:spPr>
                        <a:xfrm>
                          <a:off x="0" y="0"/>
                          <a:ext cx="6120130" cy="952"/>
                        </a:xfrm>
                        <a:prstGeom prst="line">
                          <a:avLst/>
                        </a:prstGeom>
                        <a:noFill/>
                        <a:ln w="9525" cap="flat" cmpd="sng">
                          <a:solidFill>
                            <a:srgbClr val="000000"/>
                          </a:solidFill>
                          <a:prstDash val="solid"/>
                          <a:round/>
                        </a:ln>
                        <a:effectLst/>
                      </wps:spPr>
                      <wps:bodyPr/>
                    </wps:wsp>
                  </a:graphicData>
                </a:graphic>
              </wp:anchor>
            </w:drawing>
          </mc:Choice>
          <mc:Fallback>
            <w:pict>
              <v:line id="直接连接符 73" o:spid="_x0000_s1026" o:spt="20" style="position:absolute;left:0pt;margin-left:70.85pt;margin-top:212.6pt;height:0.05pt;width:481.9pt;mso-position-horizontal-relative:page;mso-position-vertical-relative:page;z-index:251659264;mso-width-relative:page;mso-height-relative:page;" filled="f" stroked="t" coordsize="21600,21600" o:allowoverlap="f" o:gfxdata="UEsDBAoAAAAAAIdO4kAAAAAAAAAAAAAAAAAEAAAAZHJzL1BLAwQUAAAACACHTuJAMhgrIdgAAAAM&#10;AQAADwAAAGRycy9kb3ducmV2LnhtbE2PTU/DMAyG70j7D5GRuEwsabcCKk13GPTGhW2Iq9eYtqJx&#10;uib7gF9PxgWOr/3o9eNieba9ONLoO8cakpkCQVw703GjYbupbh9A+IBssHdMGr7Iw7KcXBWYG3fi&#10;VzquQyNiCfscNbQhDLmUvm7Jop+5gTjuPtxoMcQ4NtKMeIrltpepUnfSYsfxQosDrVqqP9cHq8FX&#10;b7Svvqf1VL3PG0fp/unlGbW+uU7UI4hA5/AHw0U/qkMZnXbuwMaLPuZFch9RDYs0S0FciERlGYjd&#10;72gOsizk/yfKH1BLAwQUAAAACACHTuJAvOMpOtsBAACqAwAADgAAAGRycy9lMm9Eb2MueG1srVNN&#10;bhMxFN4jcQfLezJJSksZZdJFo7JBEAl6gBePnbHkP/k5meQSXACJHaxYsuc2lGPw7BlCKZsumIXn&#10;/fnz+z4/L64O1rC9jKi9a/hsMuVMOuFb7bYNv31/8+ySM0zgWjDeyYYfJfKr5dMniz7Ucu47b1oZ&#10;GYE4rPvQ8C6lUFcVik5awIkP0lFS+WghkRu3VRuhJ3Rrqvl0elH1PrYheiERKboaknxEjI8B9Epp&#10;IVde7Kx0aUCN0kAiStjpgHxZulVKivRWKZSJmYYT01RWOoTsTV6r5QLqbYTQaTG2AI9p4QEnC9rR&#10;oSeoFSRgu6j/gbJaRI9epYnwthqIFEWIxWz6QJt3HQRZuJDUGE6i4/+DFW/268h02/DnnDmwdOF3&#10;H7/9+PD55/dPtN59/cJenGWV+oA1FV+7dRw9DOuYKR9UtPlPZNihKHs8KSsPiQkKXsyI3hmJLij3&#10;8nyeEas/W0PE9Ep6y7LRcKNdpg017F9jGkp/l+Sw8zfaGIpDbRzrC+I5YQONo6IxINMGooRuW2DQ&#10;G93mLXkHxu3m2kS2hzwS5Ru7+assn7cC7Ia6ksplUEe/c+3Qk3E5IMuYjY1mmQZhsrXx7bHoVWWP&#10;rrCwHsctz8h9n+z7T2z5C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IYKyHYAAAADAEAAA8AAAAA&#10;AAAAAQAgAAAAIgAAAGRycy9kb3ducmV2LnhtbFBLAQIUABQAAAAIAIdO4kC84yk62wEAAKoDAAAO&#10;AAAAAAAAAAEAIAAAACcBAABkcnMvZTJvRG9jLnhtbFBLBQYAAAAABgAGAFkBAAB0BQAAAAA=&#10;">
                <v:fill on="f" focussize="0,0"/>
                <v:stroke color="#000000" joinstyle="round"/>
                <v:imagedata o:title=""/>
                <o:lock v:ext="edit" aspectratio="f"/>
              </v:line>
            </w:pict>
          </mc:Fallback>
        </mc:AlternateContent>
      </w:r>
    </w:p>
    <w:p w14:paraId="48F9C6E4">
      <w:pPr>
        <w:pStyle w:val="37"/>
        <w:framePr w:w="9639" w:h="6976" w:hRule="exact" w:vAnchor="text" w:hAnchor="page" w:y="6408"/>
        <w:jc w:val="center"/>
        <w:rPr>
          <w:rFonts w:ascii="黑体" w:eastAsia="黑体"/>
          <w:b w:val="0"/>
          <w:bCs w:val="0"/>
          <w:w w:val="100"/>
        </w:rPr>
      </w:pPr>
    </w:p>
    <w:p w14:paraId="20552F1F">
      <w:pPr>
        <w:pStyle w:val="181"/>
        <w:framePr w:h="6974" w:hRule="exact" w:x="1419" w:anchorLock="1"/>
      </w:pPr>
      <w:r>
        <w:rPr>
          <w:sz w:val="48"/>
          <w:szCs w:val="48"/>
        </w:rPr>
        <w:fldChar w:fldCharType="begin">
          <w:ffData>
            <w:name w:val="CSTD_NAME"/>
            <w:enabled/>
            <w:calcOnExit w:val="0"/>
            <w:textInput>
              <w:default w:val="城镇“污水零直排区”建设技术规范第 1 部分：总则"/>
            </w:textInput>
          </w:ffData>
        </w:fldChar>
      </w:r>
      <w:bookmarkStart w:id="9" w:name="CSTD_NAME"/>
      <w:r>
        <w:rPr>
          <w:sz w:val="48"/>
          <w:szCs w:val="48"/>
        </w:rPr>
        <w:instrText xml:space="preserve"> FORMTEXT </w:instrText>
      </w:r>
      <w:r>
        <w:rPr>
          <w:sz w:val="48"/>
          <w:szCs w:val="48"/>
        </w:rPr>
        <w:fldChar w:fldCharType="separate"/>
      </w:r>
      <w:r>
        <w:rPr>
          <w:rFonts w:hint="eastAsia"/>
          <w:sz w:val="48"/>
          <w:szCs w:val="48"/>
        </w:rPr>
        <w:t>城市、乡镇“污废水零直排区”建设技术规范</w:t>
      </w:r>
      <w:r>
        <w:rPr>
          <w:sz w:val="48"/>
          <w:szCs w:val="48"/>
        </w:rPr>
        <w:br w:type="textWrapping"/>
      </w:r>
      <w:r>
        <w:rPr>
          <w:rFonts w:hint="eastAsia"/>
          <w:sz w:val="48"/>
          <w:szCs w:val="48"/>
        </w:rPr>
        <w:t>第 1 部分：总则</w:t>
      </w:r>
      <w:r>
        <w:rPr>
          <w:sz w:val="48"/>
          <w:szCs w:val="48"/>
        </w:rPr>
        <w:fldChar w:fldCharType="end"/>
      </w:r>
      <w:bookmarkEnd w:id="9"/>
    </w:p>
    <w:p w14:paraId="0B9F27F9">
      <w:pPr>
        <w:framePr w:w="9639" w:h="6974" w:hRule="exact" w:wrap="around" w:vAnchor="page" w:hAnchor="page" w:x="1419" w:y="6408" w:anchorLock="1"/>
        <w:ind w:left="-1418"/>
      </w:pPr>
    </w:p>
    <w:p w14:paraId="07D778AA">
      <w:pPr>
        <w:framePr w:w="9639" w:h="6974" w:hRule="exact" w:wrap="around" w:vAnchor="page" w:hAnchor="page" w:x="1419" w:y="6408" w:anchorLock="1"/>
        <w:spacing w:line="360" w:lineRule="auto"/>
        <w:ind w:left="2692" w:hanging="2580"/>
        <w:jc w:val="center"/>
        <w:rPr>
          <w:rFonts w:hint="eastAsia" w:ascii="Times New Roman" w:hAnsi="Times New Roman"/>
          <w:sz w:val="28"/>
        </w:rPr>
      </w:pPr>
      <w:r>
        <w:rPr>
          <w:rFonts w:hint="eastAsia" w:ascii="Times New Roman" w:hAnsi="Times New Roman"/>
          <w:sz w:val="28"/>
        </w:rPr>
        <w:t>Technical specifications for the construction of “non-direct sewage</w:t>
      </w:r>
    </w:p>
    <w:p w14:paraId="0A3150A8">
      <w:pPr>
        <w:framePr w:w="9639" w:h="6974" w:hRule="exact" w:wrap="around" w:vAnchor="page" w:hAnchor="page" w:x="1419" w:y="6408" w:anchorLock="1"/>
        <w:spacing w:line="360" w:lineRule="auto"/>
        <w:ind w:left="2692" w:hanging="2580"/>
        <w:jc w:val="center"/>
        <w:rPr>
          <w:rFonts w:hint="eastAsia" w:ascii="Times New Roman" w:hAnsi="Times New Roman"/>
          <w:sz w:val="28"/>
        </w:rPr>
      </w:pPr>
      <w:r>
        <w:rPr>
          <w:rFonts w:hint="eastAsia" w:ascii="Times New Roman" w:hAnsi="Times New Roman"/>
          <w:sz w:val="28"/>
        </w:rPr>
        <w:t>discharge area” in cities and towns</w:t>
      </w:r>
    </w:p>
    <w:p w14:paraId="067D37C1">
      <w:pPr>
        <w:framePr w:w="9639" w:h="6974" w:hRule="exact" w:wrap="around" w:vAnchor="page" w:hAnchor="page" w:x="1419" w:y="6408" w:anchorLock="1"/>
        <w:spacing w:line="360" w:lineRule="auto"/>
        <w:ind w:left="2692" w:hanging="2580"/>
        <w:jc w:val="center"/>
        <w:rPr>
          <w:rFonts w:ascii="Times New Roman" w:hAnsi="Times New Roman"/>
          <w:sz w:val="28"/>
        </w:rPr>
      </w:pPr>
      <w:r>
        <w:rPr>
          <w:rFonts w:ascii="Times New Roman" w:hAnsi="Times New Roman"/>
          <w:sz w:val="28"/>
        </w:rPr>
        <w:t>Part 1: General</w:t>
      </w:r>
    </w:p>
    <w:p w14:paraId="4AD170EA">
      <w:pPr>
        <w:framePr w:w="9639" w:h="6974" w:hRule="exact" w:wrap="around" w:vAnchor="page" w:hAnchor="page" w:x="1419" w:y="6408" w:anchorLock="1"/>
        <w:spacing w:line="760" w:lineRule="exact"/>
        <w:ind w:left="-1418"/>
      </w:pPr>
    </w:p>
    <w:p w14:paraId="4CD59AC0">
      <w:pPr>
        <w:pStyle w:val="110"/>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ddList>
              <w:listEntry w:val="草案版次选择"/>
              <w:listEntry w:val="（工作组讨论稿）"/>
              <w:listEntry w:val="（送审讨论稿）"/>
              <w:listEntry w:val="（征求意见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14:paraId="3D2D0091">
      <w:pPr>
        <w:pStyle w:val="110"/>
        <w:framePr w:w="9639" w:h="6974" w:hRule="exact" w:wrap="around" w:vAnchor="page" w:hAnchor="page" w:x="1419" w:y="6408" w:anchorLock="1"/>
        <w:spacing w:before="180" w:line="240" w:lineRule="atLeast"/>
        <w:textAlignment w:val="bottom"/>
        <w:rPr>
          <w:sz w:val="21"/>
          <w:szCs w:val="28"/>
        </w:rPr>
      </w:pPr>
      <w:bookmarkStart w:id="11" w:name="CMPLSH_DATE"/>
      <w:r>
        <w:rPr>
          <w:sz w:val="21"/>
          <w:szCs w:val="28"/>
        </w:rPr>
        <w:fldChar w:fldCharType="begin">
          <w:ffData>
            <w:name w:val="CMPLSH_DATE"/>
            <w:enabled/>
            <w:calcOnExit w:val="0"/>
            <w:textInput/>
          </w:ffData>
        </w:fldChar>
      </w:r>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14:paraId="02B1917D">
      <w:pPr>
        <w:pStyle w:val="110"/>
        <w:framePr w:w="9639" w:h="6974" w:hRule="exact" w:wrap="around" w:vAnchor="page" w:hAnchor="page" w:x="1419" w:y="6408" w:anchorLock="1"/>
        <w:spacing w:before="720" w:beforeLines="300" w:after="72" w:afterLines="30" w:line="240" w:lineRule="auto"/>
        <w:textAlignment w:val="bottom"/>
        <w:rPr>
          <w:b/>
          <w:sz w:val="21"/>
          <w:szCs w:val="28"/>
        </w:rPr>
      </w:pPr>
      <w:bookmarkStart w:id="12" w:name="下拉2"/>
      <w:r>
        <w:rPr>
          <w:b/>
          <w:sz w:val="21"/>
          <w:szCs w:val="28"/>
        </w:rPr>
        <w:fldChar w:fldCharType="begin">
          <w:ffData>
            <w:name w:val="下拉2"/>
            <w:enabled/>
            <w:calcOnExit w:val="0"/>
            <w:ddList>
              <w:listEntry w:val=" "/>
              <w:listEntry w:val="在提交反馈意见时，请将您知道的相关专利连同支持性文件一并附上。"/>
            </w:ddList>
          </w:ffData>
        </w:fldChar>
      </w:r>
      <w:r>
        <w:rPr>
          <w:b/>
          <w:sz w:val="21"/>
          <w:szCs w:val="28"/>
        </w:rPr>
        <w:instrText xml:space="preserve"> FORMDROPDOWN </w:instrText>
      </w:r>
      <w:r>
        <w:rPr>
          <w:b/>
          <w:sz w:val="21"/>
          <w:szCs w:val="28"/>
        </w:rPr>
        <w:fldChar w:fldCharType="separate"/>
      </w:r>
      <w:r>
        <w:rPr>
          <w:b/>
          <w:sz w:val="21"/>
          <w:szCs w:val="28"/>
        </w:rPr>
        <w:fldChar w:fldCharType="end"/>
      </w:r>
      <w:bookmarkEnd w:id="12"/>
    </w:p>
    <w:p w14:paraId="56EE4853">
      <w:pPr>
        <w:pStyle w:val="177"/>
        <w:framePr w:y="14176"/>
      </w:pPr>
      <w:r>
        <w:rPr>
          <w:rFonts w:ascii="黑体"/>
        </w:rPr>
        <w:t>202X</w:t>
      </w:r>
      <w:r>
        <w:t xml:space="preserve"> </w:t>
      </w:r>
      <w:r>
        <w:rPr>
          <w:rFonts w:ascii="黑体"/>
        </w:rPr>
        <w:t>-</w:t>
      </w:r>
      <w:r>
        <w:t xml:space="preserve"> </w:t>
      </w:r>
      <w:bookmarkStart w:id="13" w:name="PLSH_DATE_M"/>
      <w:r>
        <w:rPr>
          <w:rFonts w:ascii="黑体"/>
        </w:rPr>
        <w:fldChar w:fldCharType="begin">
          <w:ffData>
            <w:name w:val="PLSH_DATE_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bookmarkStart w:id="14" w:name="PLSH_DATE_D"/>
      <w:r>
        <w:rPr>
          <w:rFonts w:ascii="黑体"/>
        </w:rPr>
        <w:fldChar w:fldCharType="begin">
          <w:ffData>
            <w:name w:val="PLSH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发布</w:t>
      </w:r>
    </w:p>
    <w:p w14:paraId="2278FEAE">
      <w:pPr>
        <w:pStyle w:val="178"/>
        <w:framePr w:y="14176"/>
      </w:pPr>
      <w:r>
        <w:rPr>
          <w:rFonts w:ascii="黑体"/>
        </w:rPr>
        <w:t>202X</w:t>
      </w:r>
      <w:r>
        <w:t xml:space="preserve"> </w:t>
      </w:r>
      <w:r>
        <w:rPr>
          <w:rFonts w:ascii="黑体"/>
        </w:rPr>
        <w:t>-</w:t>
      </w:r>
      <w:r>
        <w:t xml:space="preserve"> </w:t>
      </w:r>
      <w:bookmarkStart w:id="15" w:name="CROT_DATE_M"/>
      <w:r>
        <w:rPr>
          <w:rFonts w:ascii="黑体"/>
        </w:rPr>
        <w:fldChar w:fldCharType="begin">
          <w:ffData>
            <w:name w:val="CROT_DATE_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bookmarkStart w:id="16" w:name="CROT_DATE_D"/>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实施</w:t>
      </w:r>
    </w:p>
    <w:p w14:paraId="0E25DFFC">
      <w:pPr>
        <w:pStyle w:val="136"/>
        <w:framePr w:w="2942" w:h="777" w:hRule="exact" w:hSpace="181" w:vSpace="181" w:vAnchor="page" w:hAnchor="page" w:x="4133" w:y="15145"/>
        <w:jc w:val="distribute"/>
      </w:pPr>
      <w:r>
        <w:rPr>
          <w:rFonts w:hint="eastAsia" w:ascii="Times New Roman"/>
          <w:w w:val="100"/>
          <w:sz w:val="28"/>
        </w:rPr>
        <w:t>安徽省市场监督管理局</w:t>
      </w:r>
      <w:r>
        <w:rPr>
          <w:rFonts w:ascii="Times New Roman"/>
          <w:w w:val="100"/>
          <w:sz w:val="28"/>
        </w:rPr>
        <w:t>  </w:t>
      </w:r>
      <w:r>
        <w:t xml:space="preserve"> </w:t>
      </w:r>
    </w:p>
    <w:p w14:paraId="2655E2AB">
      <w:pPr>
        <w:pStyle w:val="136"/>
        <w:framePr w:w="956" w:h="412" w:hRule="exact" w:hSpace="181" w:vSpace="181" w:vAnchor="page" w:hAnchor="page" w:x="7677" w:y="15163"/>
      </w:pPr>
      <w:r>
        <w:rPr>
          <w:rStyle w:val="212"/>
          <w:rFonts w:hint="eastAsia"/>
          <w:position w:val="0"/>
        </w:rPr>
        <w:t>发</w:t>
      </w:r>
      <w:r>
        <w:rPr>
          <w:rStyle w:val="212"/>
          <w:rFonts w:hint="eastAsia"/>
          <w:spacing w:val="0"/>
          <w:position w:val="0"/>
        </w:rPr>
        <w:t>布</w:t>
      </w:r>
    </w:p>
    <w:p w14:paraId="695488C5">
      <w:pPr>
        <w:rPr>
          <w:rFonts w:asci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720" w:num="1"/>
          <w:titlePg/>
          <w:docGrid w:linePitch="312" w:charSpace="0"/>
        </w:sectPr>
      </w:pPr>
      <w:r>
        <w:rPr>
          <w:rFonts w:hint="eastAsia" w:ascii="宋体"/>
          <w:sz w:val="28"/>
          <w:szCs w:val="28"/>
        </w:rPr>
        <mc:AlternateContent>
          <mc:Choice Requires="wps">
            <w:drawing>
              <wp:anchor distT="0" distB="0" distL="113665" distR="113665" simplePos="0" relativeHeight="251660288" behindDoc="0" locked="1" layoutInCell="1" allowOverlap="1">
                <wp:simplePos x="0" y="0"/>
                <wp:positionH relativeFrom="page">
                  <wp:posOffset>899160</wp:posOffset>
                </wp:positionH>
                <wp:positionV relativeFrom="page">
                  <wp:posOffset>9252585</wp:posOffset>
                </wp:positionV>
                <wp:extent cx="6120130" cy="635"/>
                <wp:effectExtent l="0" t="0" r="0" b="0"/>
                <wp:wrapNone/>
                <wp:docPr id="6" name="直接连接符 5"/>
                <wp:cNvGraphicFramePr/>
                <a:graphic xmlns:a="http://schemas.openxmlformats.org/drawingml/2006/main">
                  <a:graphicData uri="http://schemas.microsoft.com/office/word/2010/wordprocessingShape">
                    <wps:wsp>
                      <wps:cNvCnPr/>
                      <wps:spPr>
                        <a:xfrm>
                          <a:off x="0" y="0"/>
                          <a:ext cx="6120130" cy="951"/>
                        </a:xfrm>
                        <a:prstGeom prst="line">
                          <a:avLst/>
                        </a:prstGeom>
                        <a:noFill/>
                        <a:ln w="9525" cap="flat" cmpd="sng">
                          <a:solidFill>
                            <a:srgbClr val="000000"/>
                          </a:solidFill>
                          <a:prstDash val="solid"/>
                          <a:round/>
                        </a:ln>
                        <a:effectLst/>
                      </wps:spPr>
                      <wps:bodyPr/>
                    </wps:wsp>
                  </a:graphicData>
                </a:graphic>
              </wp:anchor>
            </w:drawing>
          </mc:Choice>
          <mc:Fallback>
            <w:pict>
              <v:line id="直接连接符 5" o:spid="_x0000_s1026" o:spt="20" style="position:absolute;left:0pt;margin-left:70.8pt;margin-top:728.55pt;height:0.05pt;width:481.9pt;mso-position-horizontal-relative:page;mso-position-vertical-relative:page;z-index:251660288;mso-width-relative:page;mso-height-relative:page;" filled="f" stroked="t" coordsize="21600,21600" o:gfxdata="UEsDBAoAAAAAAIdO4kAAAAAAAAAAAAAAAAAEAAAAZHJzL1BLAwQUAAAACACHTuJAZ9nYxNgAAAAO&#10;AQAADwAAAGRycy9kb3ducmV2LnhtbE2PzU7DMBCE70i8g7VIXCpqO7QFhTg9ALlxoYC4buMliYjX&#10;aez+wNPjiAPcdnZHs98U65PrxYHG0Hk2oOcKBHHtbceNgdeX6uoWRIjIFnvPZOCLAqzL87MCc+uP&#10;/EyHTWxECuGQo4E2xiGXMtQtOQxzPxCn24cfHcYkx0baEY8p3PUyU2olHXacPrQ40H1L9edm7wyE&#10;6o121fesnqn368ZTtnt4ekRjLi+0ugMR6RT/zDDhJ3QoE9PW79kG0Se90KtknYbljQYxWbRaLkBs&#10;f3cZyLKQ/2uUP1BLAwQUAAAACACHTuJA3yOlC9oBAACpAwAADgAAAGRycy9lMm9Eb2MueG1srVNL&#10;jhMxEN0jcQfLe9JJUCJopTOLiYYNgkjAASpuO23JP7mcdHIJLoDEDlYs2XMbZo5B2d2EYdjMgl64&#10;6+fnes/l1dXJGnaUEbV3DZ9NppxJJ3yr3b7hH97fPHvBGSZwLRjvZMPPEvnV+umTVR9qOfedN62M&#10;jEAc1n1oeJdSqKsKRSct4MQH6SipfLSQyI37qo3QE7o11Xw6XVa9j22IXkhEim6GJB8R42MAvVJa&#10;yI0XBytdGlCjNJCIEnY6IF+XbpWSIr1VCmVipuHENJWVDiF7l9dqvYJ6HyF0WowtwGNaeMDJgnZ0&#10;6AVqAwnYIep/oKwW0aNXaSK8rQYiRRFiMZs+0OZdB0EWLiQ1hovo+P9gxZvjNjLdNnzJmQNLF377&#10;6fvPj1/ufnym9fbbV7bIIvUBa6q9dts4ehi2MTM+qWjzn7iwUxH2fBFWnhITFFzOiN1z0lxQ7uVi&#10;lhGrP1tDxPRKesuy0XCjXWYNNRxfYxpKf5fksPM32hiKQ20c6zPifEHYQNOoaArItIEYodsXGPRG&#10;t3lL3oFxv7s2kR0hT0T5xm7+KsvnbQC7oa6kchnU0R9cO/RkXA7IMmVjo1mmQZhs7Xx7LnpV2aMb&#10;LKzHacsjct8n+/4LW/8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Z9nYxNgAAAAOAQAADwAAAAAA&#10;AAABACAAAAAiAAAAZHJzL2Rvd25yZXYueG1sUEsBAhQAFAAAAAgAh07iQN8jpQvaAQAAqQMAAA4A&#10;AAAAAAAAAQAgAAAAJwEAAGRycy9lMm9Eb2MueG1sUEsFBgAAAAAGAAYAWQEAAHMFAAAAAA==&#10;">
                <v:fill on="f" focussize="0,0"/>
                <v:stroke color="#000000" joinstyle="round"/>
                <v:imagedata o:title=""/>
                <o:lock v:ext="edit" aspectratio="f"/>
                <w10:anchorlock/>
              </v:line>
            </w:pict>
          </mc:Fallback>
        </mc:AlternateContent>
      </w:r>
    </w:p>
    <w:p w14:paraId="5D79207C">
      <w:pPr>
        <w:pStyle w:val="77"/>
        <w:spacing w:after="468"/>
        <w:rPr>
          <w:rFonts w:hint="eastAsia"/>
        </w:rPr>
      </w:pPr>
      <w:bookmarkStart w:id="17" w:name="BookMark1"/>
      <w:bookmarkStart w:id="18" w:name="_Toc20395"/>
      <w:bookmarkStart w:id="19" w:name="_Toc186218621"/>
      <w:bookmarkStart w:id="20" w:name="_Toc31252"/>
      <w:bookmarkStart w:id="21" w:name="_Toc14084"/>
      <w:r>
        <w:rPr>
          <w:rFonts w:hint="eastAsia"/>
          <w:spacing w:val="320"/>
        </w:rPr>
        <w:t>目</w:t>
      </w:r>
      <w:r>
        <w:rPr>
          <w:rFonts w:hint="eastAsia"/>
        </w:rPr>
        <w:t>次</w:t>
      </w:r>
    </w:p>
    <w:p w14:paraId="410828B4">
      <w:pPr>
        <w:pStyle w:val="20"/>
        <w:tabs>
          <w:tab w:val="right" w:leader="dot" w:pos="9344"/>
        </w:tabs>
        <w:rPr>
          <w:rFonts w:hint="eastAsia" w:ascii="等线" w:hAnsi="等线" w:eastAsia="等线"/>
          <w:szCs w:val="22"/>
        </w:rPr>
      </w:pPr>
      <w:r>
        <w:fldChar w:fldCharType="begin"/>
      </w:r>
      <w:r>
        <w:instrText xml:space="preserve"> TOC \o "1-1" \h \t "标准文件_一级条标题,2,标准文件_附录一级条标题,2," </w:instrText>
      </w:r>
      <w:r>
        <w:fldChar w:fldCharType="separate"/>
      </w:r>
      <w:r>
        <w:rPr>
          <w:rStyle w:val="33"/>
          <w:rFonts w:hint="eastAsia"/>
        </w:rPr>
        <w:fldChar w:fldCharType="begin"/>
      </w:r>
      <w:r>
        <w:rPr>
          <w:rStyle w:val="33"/>
          <w:rFonts w:hint="eastAsia"/>
        </w:rPr>
        <w:instrText xml:space="preserve"> </w:instrText>
      </w:r>
      <w:r>
        <w:rPr>
          <w:rFonts w:hint="eastAsia"/>
        </w:rPr>
        <w:instrText xml:space="preserve">HYPERLINK \l "_Toc186218689"</w:instrText>
      </w:r>
      <w:r>
        <w:rPr>
          <w:rStyle w:val="33"/>
          <w:rFonts w:hint="eastAsia"/>
        </w:rPr>
        <w:instrText xml:space="preserve"> </w:instrText>
      </w:r>
      <w:r>
        <w:rPr>
          <w:rStyle w:val="33"/>
          <w:rFonts w:hint="eastAsia"/>
        </w:rPr>
        <w:fldChar w:fldCharType="separate"/>
      </w:r>
      <w:r>
        <w:rPr>
          <w:rStyle w:val="33"/>
          <w:rFonts w:hint="eastAsia"/>
        </w:rPr>
        <w:t>前言</w:t>
      </w:r>
      <w:r>
        <w:rPr>
          <w:rFonts w:hint="eastAsia"/>
        </w:rPr>
        <w:tab/>
      </w:r>
      <w:r>
        <w:rPr>
          <w:rFonts w:hint="eastAsia"/>
        </w:rPr>
        <w:fldChar w:fldCharType="begin"/>
      </w:r>
      <w:r>
        <w:rPr>
          <w:rFonts w:hint="eastAsia"/>
        </w:rPr>
        <w:instrText xml:space="preserve"> </w:instrText>
      </w:r>
      <w:r>
        <w:instrText xml:space="preserve">PAGEREF _Toc186218689 \h</w:instrText>
      </w:r>
      <w:r>
        <w:rPr>
          <w:rFonts w:hint="eastAsia"/>
        </w:rPr>
        <w:instrText xml:space="preserve"> </w:instrText>
      </w:r>
      <w:r>
        <w:fldChar w:fldCharType="separate"/>
      </w:r>
      <w:r>
        <w:t>III</w:t>
      </w:r>
      <w:r>
        <w:rPr>
          <w:rFonts w:hint="eastAsia"/>
        </w:rPr>
        <w:fldChar w:fldCharType="end"/>
      </w:r>
      <w:r>
        <w:rPr>
          <w:rStyle w:val="33"/>
          <w:rFonts w:hint="eastAsia"/>
        </w:rPr>
        <w:fldChar w:fldCharType="end"/>
      </w:r>
    </w:p>
    <w:p w14:paraId="46E7211B">
      <w:pPr>
        <w:pStyle w:val="20"/>
        <w:tabs>
          <w:tab w:val="right" w:leader="dot" w:pos="9344"/>
        </w:tabs>
        <w:rPr>
          <w:rFonts w:hint="eastAsia" w:ascii="等线" w:hAnsi="等线" w:eastAsia="等线"/>
          <w:szCs w:val="22"/>
        </w:rPr>
      </w:pPr>
      <w:r>
        <w:rPr>
          <w:rStyle w:val="33"/>
          <w:rFonts w:hint="eastAsia"/>
        </w:rPr>
        <w:fldChar w:fldCharType="begin"/>
      </w:r>
      <w:r>
        <w:rPr>
          <w:rStyle w:val="33"/>
          <w:rFonts w:hint="eastAsia"/>
        </w:rPr>
        <w:instrText xml:space="preserve"> </w:instrText>
      </w:r>
      <w:r>
        <w:rPr>
          <w:rFonts w:hint="eastAsia"/>
        </w:rPr>
        <w:instrText xml:space="preserve">HYPERLINK \l "_Toc186218690"</w:instrText>
      </w:r>
      <w:r>
        <w:rPr>
          <w:rStyle w:val="33"/>
          <w:rFonts w:hint="eastAsia"/>
        </w:rPr>
        <w:instrText xml:space="preserve"> </w:instrText>
      </w:r>
      <w:r>
        <w:rPr>
          <w:rStyle w:val="33"/>
          <w:rFonts w:hint="eastAsia"/>
        </w:rPr>
        <w:fldChar w:fldCharType="separate"/>
      </w:r>
      <w:r>
        <w:rPr>
          <w:rStyle w:val="33"/>
          <w:rFonts w:hint="eastAsia" w:hAnsi="黑体"/>
        </w:rPr>
        <w:t xml:space="preserve">1 </w:t>
      </w:r>
      <w:r>
        <w:rPr>
          <w:rStyle w:val="33"/>
          <w:rFonts w:hint="eastAsia"/>
        </w:rPr>
        <w:t xml:space="preserve"> 范围</w:t>
      </w:r>
      <w:r>
        <w:rPr>
          <w:rFonts w:hint="eastAsia"/>
        </w:rPr>
        <w:tab/>
      </w:r>
      <w:r>
        <w:rPr>
          <w:rFonts w:hint="eastAsia"/>
        </w:rPr>
        <w:fldChar w:fldCharType="begin"/>
      </w:r>
      <w:r>
        <w:rPr>
          <w:rFonts w:hint="eastAsia"/>
        </w:rPr>
        <w:instrText xml:space="preserve"> </w:instrText>
      </w:r>
      <w:r>
        <w:instrText xml:space="preserve">PAGEREF _Toc186218690 \h</w:instrText>
      </w:r>
      <w:r>
        <w:rPr>
          <w:rFonts w:hint="eastAsia"/>
        </w:rPr>
        <w:instrText xml:space="preserve"> </w:instrText>
      </w:r>
      <w:r>
        <w:fldChar w:fldCharType="separate"/>
      </w:r>
      <w:r>
        <w:t>4</w:t>
      </w:r>
      <w:r>
        <w:rPr>
          <w:rFonts w:hint="eastAsia"/>
        </w:rPr>
        <w:fldChar w:fldCharType="end"/>
      </w:r>
      <w:r>
        <w:rPr>
          <w:rStyle w:val="33"/>
          <w:rFonts w:hint="eastAsia"/>
        </w:rPr>
        <w:fldChar w:fldCharType="end"/>
      </w:r>
    </w:p>
    <w:p w14:paraId="447DD32A">
      <w:pPr>
        <w:pStyle w:val="20"/>
        <w:tabs>
          <w:tab w:val="right" w:leader="dot" w:pos="9344"/>
        </w:tabs>
        <w:rPr>
          <w:rFonts w:hint="eastAsia" w:ascii="等线" w:hAnsi="等线" w:eastAsia="等线"/>
          <w:szCs w:val="22"/>
        </w:rPr>
      </w:pPr>
      <w:r>
        <w:rPr>
          <w:rStyle w:val="33"/>
          <w:rFonts w:hint="eastAsia"/>
        </w:rPr>
        <w:fldChar w:fldCharType="begin"/>
      </w:r>
      <w:r>
        <w:rPr>
          <w:rStyle w:val="33"/>
          <w:rFonts w:hint="eastAsia"/>
        </w:rPr>
        <w:instrText xml:space="preserve"> </w:instrText>
      </w:r>
      <w:r>
        <w:rPr>
          <w:rFonts w:hint="eastAsia"/>
        </w:rPr>
        <w:instrText xml:space="preserve">HYPERLINK \l "_Toc186218691"</w:instrText>
      </w:r>
      <w:r>
        <w:rPr>
          <w:rStyle w:val="33"/>
          <w:rFonts w:hint="eastAsia"/>
        </w:rPr>
        <w:instrText xml:space="preserve"> </w:instrText>
      </w:r>
      <w:r>
        <w:rPr>
          <w:rStyle w:val="33"/>
          <w:rFonts w:hint="eastAsia"/>
        </w:rPr>
        <w:fldChar w:fldCharType="separate"/>
      </w:r>
      <w:r>
        <w:rPr>
          <w:rStyle w:val="33"/>
          <w:rFonts w:hint="eastAsia" w:hAnsi="黑体"/>
        </w:rPr>
        <w:t xml:space="preserve">2 </w:t>
      </w:r>
      <w:r>
        <w:rPr>
          <w:rStyle w:val="33"/>
          <w:rFonts w:hint="eastAsia"/>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_Toc186218691 \h</w:instrText>
      </w:r>
      <w:r>
        <w:rPr>
          <w:rFonts w:hint="eastAsia"/>
        </w:rPr>
        <w:instrText xml:space="preserve"> </w:instrText>
      </w:r>
      <w:r>
        <w:fldChar w:fldCharType="separate"/>
      </w:r>
      <w:r>
        <w:t>4</w:t>
      </w:r>
      <w:r>
        <w:rPr>
          <w:rFonts w:hint="eastAsia"/>
        </w:rPr>
        <w:fldChar w:fldCharType="end"/>
      </w:r>
      <w:r>
        <w:rPr>
          <w:rStyle w:val="33"/>
          <w:rFonts w:hint="eastAsia"/>
        </w:rPr>
        <w:fldChar w:fldCharType="end"/>
      </w:r>
    </w:p>
    <w:p w14:paraId="7A097C5A">
      <w:pPr>
        <w:pStyle w:val="20"/>
        <w:tabs>
          <w:tab w:val="right" w:leader="dot" w:pos="9344"/>
        </w:tabs>
        <w:rPr>
          <w:rFonts w:hint="eastAsia" w:ascii="等线" w:hAnsi="等线" w:eastAsia="等线"/>
          <w:szCs w:val="22"/>
        </w:rPr>
      </w:pPr>
      <w:r>
        <w:rPr>
          <w:rStyle w:val="33"/>
          <w:rFonts w:hint="eastAsia"/>
        </w:rPr>
        <w:fldChar w:fldCharType="begin"/>
      </w:r>
      <w:r>
        <w:rPr>
          <w:rStyle w:val="33"/>
          <w:rFonts w:hint="eastAsia"/>
        </w:rPr>
        <w:instrText xml:space="preserve"> </w:instrText>
      </w:r>
      <w:r>
        <w:rPr>
          <w:rFonts w:hint="eastAsia"/>
        </w:rPr>
        <w:instrText xml:space="preserve">HYPERLINK \l "_Toc186218692"</w:instrText>
      </w:r>
      <w:r>
        <w:rPr>
          <w:rStyle w:val="33"/>
          <w:rFonts w:hint="eastAsia"/>
        </w:rPr>
        <w:instrText xml:space="preserve"> </w:instrText>
      </w:r>
      <w:r>
        <w:rPr>
          <w:rStyle w:val="33"/>
          <w:rFonts w:hint="eastAsia"/>
        </w:rPr>
        <w:fldChar w:fldCharType="separate"/>
      </w:r>
      <w:r>
        <w:rPr>
          <w:rStyle w:val="33"/>
          <w:rFonts w:hint="eastAsia" w:hAnsi="黑体"/>
        </w:rPr>
        <w:t xml:space="preserve">3 </w:t>
      </w:r>
      <w:r>
        <w:rPr>
          <w:rStyle w:val="33"/>
          <w:rFonts w:hint="eastAsia"/>
        </w:rPr>
        <w:t xml:space="preserve"> 术语和定义</w:t>
      </w:r>
      <w:r>
        <w:rPr>
          <w:rFonts w:hint="eastAsia"/>
        </w:rPr>
        <w:tab/>
      </w:r>
      <w:r>
        <w:rPr>
          <w:rFonts w:hint="eastAsia"/>
        </w:rPr>
        <w:fldChar w:fldCharType="begin"/>
      </w:r>
      <w:r>
        <w:rPr>
          <w:rFonts w:hint="eastAsia"/>
        </w:rPr>
        <w:instrText xml:space="preserve"> </w:instrText>
      </w:r>
      <w:r>
        <w:instrText xml:space="preserve">PAGEREF _Toc186218692 \h</w:instrText>
      </w:r>
      <w:r>
        <w:rPr>
          <w:rFonts w:hint="eastAsia"/>
        </w:rPr>
        <w:instrText xml:space="preserve"> </w:instrText>
      </w:r>
      <w:r>
        <w:fldChar w:fldCharType="separate"/>
      </w:r>
      <w:r>
        <w:t>5</w:t>
      </w:r>
      <w:r>
        <w:rPr>
          <w:rFonts w:hint="eastAsia"/>
        </w:rPr>
        <w:fldChar w:fldCharType="end"/>
      </w:r>
      <w:r>
        <w:rPr>
          <w:rStyle w:val="33"/>
          <w:rFonts w:hint="eastAsia"/>
        </w:rPr>
        <w:fldChar w:fldCharType="end"/>
      </w:r>
    </w:p>
    <w:p w14:paraId="59896875">
      <w:pPr>
        <w:pStyle w:val="20"/>
        <w:tabs>
          <w:tab w:val="right" w:leader="dot" w:pos="9344"/>
        </w:tabs>
        <w:rPr>
          <w:rFonts w:hint="eastAsia" w:ascii="等线" w:hAnsi="等线" w:eastAsia="等线"/>
          <w:szCs w:val="22"/>
        </w:rPr>
      </w:pPr>
      <w:r>
        <w:rPr>
          <w:rStyle w:val="33"/>
          <w:rFonts w:hint="eastAsia"/>
        </w:rPr>
        <w:fldChar w:fldCharType="begin"/>
      </w:r>
      <w:r>
        <w:rPr>
          <w:rStyle w:val="33"/>
          <w:rFonts w:hint="eastAsia"/>
        </w:rPr>
        <w:instrText xml:space="preserve"> </w:instrText>
      </w:r>
      <w:r>
        <w:rPr>
          <w:rFonts w:hint="eastAsia"/>
        </w:rPr>
        <w:instrText xml:space="preserve">HYPERLINK \l "_Toc186218693"</w:instrText>
      </w:r>
      <w:r>
        <w:rPr>
          <w:rStyle w:val="33"/>
          <w:rFonts w:hint="eastAsia"/>
        </w:rPr>
        <w:instrText xml:space="preserve"> </w:instrText>
      </w:r>
      <w:r>
        <w:rPr>
          <w:rStyle w:val="33"/>
          <w:rFonts w:hint="eastAsia"/>
        </w:rPr>
        <w:fldChar w:fldCharType="separate"/>
      </w:r>
      <w:r>
        <w:rPr>
          <w:rStyle w:val="33"/>
          <w:rFonts w:hint="eastAsia" w:hAnsi="黑体"/>
        </w:rPr>
        <w:t xml:space="preserve">4 </w:t>
      </w:r>
      <w:r>
        <w:rPr>
          <w:rStyle w:val="33"/>
          <w:rFonts w:hint="eastAsia"/>
        </w:rPr>
        <w:t xml:space="preserve"> 基本原则和一般规定</w:t>
      </w:r>
      <w:r>
        <w:rPr>
          <w:rFonts w:hint="eastAsia"/>
        </w:rPr>
        <w:tab/>
      </w:r>
      <w:r>
        <w:rPr>
          <w:rFonts w:hint="eastAsia"/>
        </w:rPr>
        <w:fldChar w:fldCharType="begin"/>
      </w:r>
      <w:r>
        <w:rPr>
          <w:rFonts w:hint="eastAsia"/>
        </w:rPr>
        <w:instrText xml:space="preserve"> </w:instrText>
      </w:r>
      <w:r>
        <w:instrText xml:space="preserve">PAGEREF _Toc186218693 \h</w:instrText>
      </w:r>
      <w:r>
        <w:rPr>
          <w:rFonts w:hint="eastAsia"/>
        </w:rPr>
        <w:instrText xml:space="preserve"> </w:instrText>
      </w:r>
      <w:r>
        <w:fldChar w:fldCharType="separate"/>
      </w:r>
      <w:r>
        <w:t>6</w:t>
      </w:r>
      <w:r>
        <w:rPr>
          <w:rFonts w:hint="eastAsia"/>
        </w:rPr>
        <w:fldChar w:fldCharType="end"/>
      </w:r>
      <w:r>
        <w:rPr>
          <w:rStyle w:val="33"/>
          <w:rFonts w:hint="eastAsia"/>
        </w:rPr>
        <w:fldChar w:fldCharType="end"/>
      </w:r>
    </w:p>
    <w:p w14:paraId="3A1001CC">
      <w:pPr>
        <w:pStyle w:val="20"/>
        <w:tabs>
          <w:tab w:val="right" w:leader="dot" w:pos="9344"/>
        </w:tabs>
        <w:rPr>
          <w:rFonts w:hint="eastAsia" w:ascii="等线" w:hAnsi="等线" w:eastAsia="等线"/>
          <w:szCs w:val="22"/>
        </w:rPr>
      </w:pPr>
      <w:r>
        <w:rPr>
          <w:rStyle w:val="33"/>
          <w:rFonts w:hint="eastAsia"/>
        </w:rPr>
        <w:fldChar w:fldCharType="begin"/>
      </w:r>
      <w:r>
        <w:rPr>
          <w:rStyle w:val="33"/>
          <w:rFonts w:hint="eastAsia"/>
        </w:rPr>
        <w:instrText xml:space="preserve"> </w:instrText>
      </w:r>
      <w:r>
        <w:rPr>
          <w:rFonts w:hint="eastAsia"/>
        </w:rPr>
        <w:instrText xml:space="preserve">HYPERLINK \l "_Toc186218696"</w:instrText>
      </w:r>
      <w:r>
        <w:rPr>
          <w:rStyle w:val="33"/>
          <w:rFonts w:hint="eastAsia"/>
        </w:rPr>
        <w:instrText xml:space="preserve"> </w:instrText>
      </w:r>
      <w:r>
        <w:rPr>
          <w:rStyle w:val="33"/>
          <w:rFonts w:hint="eastAsia"/>
        </w:rPr>
        <w:fldChar w:fldCharType="separate"/>
      </w:r>
      <w:r>
        <w:rPr>
          <w:rStyle w:val="33"/>
          <w:rFonts w:hint="eastAsia" w:hAnsi="黑体"/>
        </w:rPr>
        <w:t xml:space="preserve">5 </w:t>
      </w:r>
      <w:r>
        <w:rPr>
          <w:rStyle w:val="33"/>
          <w:rFonts w:hint="eastAsia"/>
        </w:rPr>
        <w:t xml:space="preserve"> 建设内容和工作流程</w:t>
      </w:r>
      <w:r>
        <w:rPr>
          <w:rFonts w:hint="eastAsia"/>
        </w:rPr>
        <w:tab/>
      </w:r>
      <w:r>
        <w:rPr>
          <w:rFonts w:hint="eastAsia"/>
        </w:rPr>
        <w:fldChar w:fldCharType="begin"/>
      </w:r>
      <w:r>
        <w:rPr>
          <w:rFonts w:hint="eastAsia"/>
        </w:rPr>
        <w:instrText xml:space="preserve"> </w:instrText>
      </w:r>
      <w:r>
        <w:instrText xml:space="preserve">PAGEREF _Toc186218696 \h</w:instrText>
      </w:r>
      <w:r>
        <w:rPr>
          <w:rFonts w:hint="eastAsia"/>
        </w:rPr>
        <w:instrText xml:space="preserve"> </w:instrText>
      </w:r>
      <w:r>
        <w:fldChar w:fldCharType="separate"/>
      </w:r>
      <w:r>
        <w:t>7</w:t>
      </w:r>
      <w:r>
        <w:rPr>
          <w:rFonts w:hint="eastAsia"/>
        </w:rPr>
        <w:fldChar w:fldCharType="end"/>
      </w:r>
      <w:r>
        <w:rPr>
          <w:rStyle w:val="33"/>
          <w:rFonts w:hint="eastAsia"/>
        </w:rPr>
        <w:fldChar w:fldCharType="end"/>
      </w:r>
    </w:p>
    <w:p w14:paraId="06990B65">
      <w:pPr>
        <w:pStyle w:val="20"/>
        <w:tabs>
          <w:tab w:val="right" w:leader="dot" w:pos="9344"/>
        </w:tabs>
        <w:rPr>
          <w:rFonts w:hint="eastAsia" w:ascii="等线" w:hAnsi="等线" w:eastAsia="等线"/>
          <w:szCs w:val="22"/>
        </w:rPr>
      </w:pPr>
      <w:r>
        <w:rPr>
          <w:rStyle w:val="33"/>
          <w:rFonts w:hint="eastAsia"/>
        </w:rPr>
        <w:fldChar w:fldCharType="begin"/>
      </w:r>
      <w:r>
        <w:rPr>
          <w:rStyle w:val="33"/>
          <w:rFonts w:hint="eastAsia"/>
        </w:rPr>
        <w:instrText xml:space="preserve"> </w:instrText>
      </w:r>
      <w:r>
        <w:rPr>
          <w:rFonts w:hint="eastAsia"/>
        </w:rPr>
        <w:instrText xml:space="preserve">HYPERLINK \l "_Toc186218699"</w:instrText>
      </w:r>
      <w:r>
        <w:rPr>
          <w:rStyle w:val="33"/>
          <w:rFonts w:hint="eastAsia"/>
        </w:rPr>
        <w:instrText xml:space="preserve"> </w:instrText>
      </w:r>
      <w:r>
        <w:rPr>
          <w:rStyle w:val="33"/>
          <w:rFonts w:hint="eastAsia"/>
        </w:rPr>
        <w:fldChar w:fldCharType="separate"/>
      </w:r>
      <w:r>
        <w:rPr>
          <w:rStyle w:val="33"/>
          <w:rFonts w:hint="eastAsia" w:hAnsi="黑体"/>
        </w:rPr>
        <w:t xml:space="preserve">6 </w:t>
      </w:r>
      <w:r>
        <w:rPr>
          <w:rStyle w:val="33"/>
          <w:rFonts w:hint="eastAsia"/>
        </w:rPr>
        <w:t xml:space="preserve"> 方案编制</w:t>
      </w:r>
      <w:r>
        <w:rPr>
          <w:rFonts w:hint="eastAsia"/>
        </w:rPr>
        <w:tab/>
      </w:r>
      <w:r>
        <w:rPr>
          <w:rFonts w:hint="eastAsia"/>
        </w:rPr>
        <w:fldChar w:fldCharType="begin"/>
      </w:r>
      <w:r>
        <w:rPr>
          <w:rFonts w:hint="eastAsia"/>
        </w:rPr>
        <w:instrText xml:space="preserve"> </w:instrText>
      </w:r>
      <w:r>
        <w:instrText xml:space="preserve">PAGEREF _Toc186218699 \h</w:instrText>
      </w:r>
      <w:r>
        <w:rPr>
          <w:rFonts w:hint="eastAsia"/>
        </w:rPr>
        <w:instrText xml:space="preserve"> </w:instrText>
      </w:r>
      <w:r>
        <w:fldChar w:fldCharType="separate"/>
      </w:r>
      <w:r>
        <w:t>9</w:t>
      </w:r>
      <w:r>
        <w:rPr>
          <w:rFonts w:hint="eastAsia"/>
        </w:rPr>
        <w:fldChar w:fldCharType="end"/>
      </w:r>
      <w:r>
        <w:rPr>
          <w:rStyle w:val="33"/>
          <w:rFonts w:hint="eastAsia"/>
        </w:rPr>
        <w:fldChar w:fldCharType="end"/>
      </w:r>
    </w:p>
    <w:p w14:paraId="3BF384BA">
      <w:pPr>
        <w:pStyle w:val="20"/>
        <w:tabs>
          <w:tab w:val="right" w:leader="dot" w:pos="9344"/>
        </w:tabs>
        <w:rPr>
          <w:rFonts w:hint="eastAsia" w:ascii="等线" w:hAnsi="等线" w:eastAsia="等线"/>
          <w:szCs w:val="22"/>
        </w:rPr>
      </w:pPr>
      <w:r>
        <w:rPr>
          <w:rStyle w:val="33"/>
          <w:rFonts w:hint="eastAsia"/>
        </w:rPr>
        <w:fldChar w:fldCharType="begin"/>
      </w:r>
      <w:r>
        <w:rPr>
          <w:rStyle w:val="33"/>
          <w:rFonts w:hint="eastAsia"/>
        </w:rPr>
        <w:instrText xml:space="preserve"> </w:instrText>
      </w:r>
      <w:r>
        <w:rPr>
          <w:rFonts w:hint="eastAsia"/>
        </w:rPr>
        <w:instrText xml:space="preserve">HYPERLINK \l "_Toc186218701"</w:instrText>
      </w:r>
      <w:r>
        <w:rPr>
          <w:rStyle w:val="33"/>
          <w:rFonts w:hint="eastAsia"/>
        </w:rPr>
        <w:instrText xml:space="preserve"> </w:instrText>
      </w:r>
      <w:r>
        <w:rPr>
          <w:rStyle w:val="33"/>
          <w:rFonts w:hint="eastAsia"/>
        </w:rPr>
        <w:fldChar w:fldCharType="separate"/>
      </w:r>
      <w:r>
        <w:rPr>
          <w:rStyle w:val="33"/>
          <w:rFonts w:hint="eastAsia" w:hAnsi="黑体"/>
        </w:rPr>
        <w:t xml:space="preserve">7 </w:t>
      </w:r>
      <w:r>
        <w:rPr>
          <w:rStyle w:val="33"/>
          <w:rFonts w:hint="eastAsia"/>
        </w:rPr>
        <w:t xml:space="preserve"> 排查</w:t>
      </w:r>
      <w:r>
        <w:rPr>
          <w:rFonts w:hint="eastAsia"/>
        </w:rPr>
        <w:tab/>
      </w:r>
      <w:r>
        <w:rPr>
          <w:rFonts w:hint="eastAsia"/>
        </w:rPr>
        <w:fldChar w:fldCharType="begin"/>
      </w:r>
      <w:r>
        <w:rPr>
          <w:rFonts w:hint="eastAsia"/>
        </w:rPr>
        <w:instrText xml:space="preserve"> </w:instrText>
      </w:r>
      <w:r>
        <w:instrText xml:space="preserve">PAGEREF _Toc186218701 \h</w:instrText>
      </w:r>
      <w:r>
        <w:rPr>
          <w:rFonts w:hint="eastAsia"/>
        </w:rPr>
        <w:instrText xml:space="preserve"> </w:instrText>
      </w:r>
      <w:r>
        <w:fldChar w:fldCharType="separate"/>
      </w:r>
      <w:r>
        <w:t>9</w:t>
      </w:r>
      <w:r>
        <w:rPr>
          <w:rFonts w:hint="eastAsia"/>
        </w:rPr>
        <w:fldChar w:fldCharType="end"/>
      </w:r>
      <w:r>
        <w:rPr>
          <w:rStyle w:val="33"/>
          <w:rFonts w:hint="eastAsia"/>
        </w:rPr>
        <w:fldChar w:fldCharType="end"/>
      </w:r>
    </w:p>
    <w:p w14:paraId="6F57E1F7">
      <w:pPr>
        <w:pStyle w:val="20"/>
        <w:tabs>
          <w:tab w:val="right" w:leader="dot" w:pos="9344"/>
        </w:tabs>
        <w:rPr>
          <w:rFonts w:hint="eastAsia" w:ascii="等线" w:hAnsi="等线" w:eastAsia="等线"/>
          <w:szCs w:val="22"/>
        </w:rPr>
      </w:pPr>
      <w:r>
        <w:rPr>
          <w:rStyle w:val="33"/>
          <w:rFonts w:hint="eastAsia"/>
        </w:rPr>
        <w:fldChar w:fldCharType="begin"/>
      </w:r>
      <w:r>
        <w:rPr>
          <w:rStyle w:val="33"/>
          <w:rFonts w:hint="eastAsia"/>
        </w:rPr>
        <w:instrText xml:space="preserve"> </w:instrText>
      </w:r>
      <w:r>
        <w:rPr>
          <w:rFonts w:hint="eastAsia"/>
        </w:rPr>
        <w:instrText xml:space="preserve">HYPERLINK \l "_Toc186218708"</w:instrText>
      </w:r>
      <w:r>
        <w:rPr>
          <w:rStyle w:val="33"/>
          <w:rFonts w:hint="eastAsia"/>
        </w:rPr>
        <w:instrText xml:space="preserve"> </w:instrText>
      </w:r>
      <w:r>
        <w:rPr>
          <w:rStyle w:val="33"/>
          <w:rFonts w:hint="eastAsia"/>
        </w:rPr>
        <w:fldChar w:fldCharType="separate"/>
      </w:r>
      <w:r>
        <w:rPr>
          <w:rStyle w:val="33"/>
          <w:rFonts w:hint="eastAsia" w:hAnsi="黑体"/>
        </w:rPr>
        <w:t xml:space="preserve">8 </w:t>
      </w:r>
      <w:r>
        <w:rPr>
          <w:rStyle w:val="33"/>
          <w:rFonts w:hint="eastAsia"/>
        </w:rPr>
        <w:t xml:space="preserve"> 设计与施工</w:t>
      </w:r>
      <w:r>
        <w:rPr>
          <w:rFonts w:hint="eastAsia"/>
        </w:rPr>
        <w:tab/>
      </w:r>
      <w:r>
        <w:rPr>
          <w:rFonts w:hint="eastAsia"/>
        </w:rPr>
        <w:fldChar w:fldCharType="begin"/>
      </w:r>
      <w:r>
        <w:rPr>
          <w:rFonts w:hint="eastAsia"/>
        </w:rPr>
        <w:instrText xml:space="preserve"> </w:instrText>
      </w:r>
      <w:r>
        <w:instrText xml:space="preserve">PAGEREF _Toc186218708 \h</w:instrText>
      </w:r>
      <w:r>
        <w:rPr>
          <w:rFonts w:hint="eastAsia"/>
        </w:rPr>
        <w:instrText xml:space="preserve"> </w:instrText>
      </w:r>
      <w:r>
        <w:fldChar w:fldCharType="separate"/>
      </w:r>
      <w:r>
        <w:t>9</w:t>
      </w:r>
      <w:r>
        <w:rPr>
          <w:rFonts w:hint="eastAsia"/>
        </w:rPr>
        <w:fldChar w:fldCharType="end"/>
      </w:r>
      <w:r>
        <w:rPr>
          <w:rStyle w:val="33"/>
          <w:rFonts w:hint="eastAsia"/>
        </w:rPr>
        <w:fldChar w:fldCharType="end"/>
      </w:r>
    </w:p>
    <w:p w14:paraId="1E555B77">
      <w:pPr>
        <w:pStyle w:val="20"/>
        <w:tabs>
          <w:tab w:val="right" w:leader="dot" w:pos="9344"/>
        </w:tabs>
        <w:rPr>
          <w:rFonts w:hint="eastAsia" w:ascii="等线" w:hAnsi="等线" w:eastAsia="等线"/>
          <w:szCs w:val="22"/>
        </w:rPr>
      </w:pPr>
      <w:r>
        <w:rPr>
          <w:rStyle w:val="33"/>
          <w:rFonts w:hint="eastAsia"/>
        </w:rPr>
        <w:fldChar w:fldCharType="begin"/>
      </w:r>
      <w:r>
        <w:rPr>
          <w:rStyle w:val="33"/>
          <w:rFonts w:hint="eastAsia"/>
        </w:rPr>
        <w:instrText xml:space="preserve"> </w:instrText>
      </w:r>
      <w:r>
        <w:rPr>
          <w:rFonts w:hint="eastAsia"/>
        </w:rPr>
        <w:instrText xml:space="preserve">HYPERLINK \l "_Toc186218719"</w:instrText>
      </w:r>
      <w:r>
        <w:rPr>
          <w:rStyle w:val="33"/>
          <w:rFonts w:hint="eastAsia"/>
        </w:rPr>
        <w:instrText xml:space="preserve"> </w:instrText>
      </w:r>
      <w:r>
        <w:rPr>
          <w:rStyle w:val="33"/>
          <w:rFonts w:hint="eastAsia"/>
        </w:rPr>
        <w:fldChar w:fldCharType="separate"/>
      </w:r>
      <w:r>
        <w:rPr>
          <w:rStyle w:val="33"/>
          <w:rFonts w:hint="eastAsia" w:hAnsi="黑体"/>
        </w:rPr>
        <w:t xml:space="preserve">9 </w:t>
      </w:r>
      <w:r>
        <w:rPr>
          <w:rStyle w:val="33"/>
          <w:rFonts w:hint="eastAsia"/>
        </w:rPr>
        <w:t xml:space="preserve"> 评估与验收</w:t>
      </w:r>
      <w:r>
        <w:rPr>
          <w:rFonts w:hint="eastAsia"/>
        </w:rPr>
        <w:tab/>
      </w:r>
      <w:r>
        <w:rPr>
          <w:rFonts w:hint="eastAsia"/>
        </w:rPr>
        <w:fldChar w:fldCharType="begin"/>
      </w:r>
      <w:r>
        <w:rPr>
          <w:rFonts w:hint="eastAsia"/>
        </w:rPr>
        <w:instrText xml:space="preserve"> </w:instrText>
      </w:r>
      <w:r>
        <w:instrText xml:space="preserve">PAGEREF _Toc186218719 \h</w:instrText>
      </w:r>
      <w:r>
        <w:rPr>
          <w:rFonts w:hint="eastAsia"/>
        </w:rPr>
        <w:instrText xml:space="preserve"> </w:instrText>
      </w:r>
      <w:r>
        <w:fldChar w:fldCharType="separate"/>
      </w:r>
      <w:r>
        <w:t>10</w:t>
      </w:r>
      <w:r>
        <w:rPr>
          <w:rFonts w:hint="eastAsia"/>
        </w:rPr>
        <w:fldChar w:fldCharType="end"/>
      </w:r>
      <w:r>
        <w:rPr>
          <w:rStyle w:val="33"/>
          <w:rFonts w:hint="eastAsia"/>
        </w:rPr>
        <w:fldChar w:fldCharType="end"/>
      </w:r>
    </w:p>
    <w:p w14:paraId="240C1315">
      <w:pPr>
        <w:pStyle w:val="20"/>
        <w:tabs>
          <w:tab w:val="right" w:leader="dot" w:pos="9344"/>
        </w:tabs>
        <w:rPr>
          <w:rFonts w:hint="eastAsia" w:ascii="等线" w:hAnsi="等线" w:eastAsia="等线"/>
          <w:szCs w:val="22"/>
        </w:rPr>
      </w:pPr>
      <w:r>
        <w:rPr>
          <w:rStyle w:val="33"/>
          <w:rFonts w:hint="eastAsia"/>
        </w:rPr>
        <w:fldChar w:fldCharType="begin"/>
      </w:r>
      <w:r>
        <w:rPr>
          <w:rStyle w:val="33"/>
          <w:rFonts w:hint="eastAsia"/>
        </w:rPr>
        <w:instrText xml:space="preserve"> </w:instrText>
      </w:r>
      <w:r>
        <w:rPr>
          <w:rFonts w:hint="eastAsia"/>
        </w:rPr>
        <w:instrText xml:space="preserve">HYPERLINK \l "_Toc186218725"</w:instrText>
      </w:r>
      <w:r>
        <w:rPr>
          <w:rStyle w:val="33"/>
          <w:rFonts w:hint="eastAsia"/>
        </w:rPr>
        <w:instrText xml:space="preserve"> </w:instrText>
      </w:r>
      <w:r>
        <w:rPr>
          <w:rStyle w:val="33"/>
          <w:rFonts w:hint="eastAsia"/>
        </w:rPr>
        <w:fldChar w:fldCharType="separate"/>
      </w:r>
      <w:r>
        <w:rPr>
          <w:rStyle w:val="33"/>
          <w:rFonts w:hint="eastAsia" w:hAnsi="黑体"/>
        </w:rPr>
        <w:t xml:space="preserve">10 </w:t>
      </w:r>
      <w:r>
        <w:rPr>
          <w:rStyle w:val="33"/>
          <w:rFonts w:hint="eastAsia"/>
        </w:rPr>
        <w:t xml:space="preserve"> 运行与维护</w:t>
      </w:r>
      <w:r>
        <w:rPr>
          <w:rFonts w:hint="eastAsia"/>
        </w:rPr>
        <w:tab/>
      </w:r>
      <w:r>
        <w:rPr>
          <w:rFonts w:hint="eastAsia"/>
        </w:rPr>
        <w:fldChar w:fldCharType="begin"/>
      </w:r>
      <w:r>
        <w:rPr>
          <w:rFonts w:hint="eastAsia"/>
        </w:rPr>
        <w:instrText xml:space="preserve"> </w:instrText>
      </w:r>
      <w:r>
        <w:instrText xml:space="preserve">PAGEREF _Toc186218725 \h</w:instrText>
      </w:r>
      <w:r>
        <w:rPr>
          <w:rFonts w:hint="eastAsia"/>
        </w:rPr>
        <w:instrText xml:space="preserve"> </w:instrText>
      </w:r>
      <w:r>
        <w:fldChar w:fldCharType="separate"/>
      </w:r>
      <w:r>
        <w:t>10</w:t>
      </w:r>
      <w:r>
        <w:rPr>
          <w:rFonts w:hint="eastAsia"/>
        </w:rPr>
        <w:fldChar w:fldCharType="end"/>
      </w:r>
      <w:r>
        <w:rPr>
          <w:rStyle w:val="33"/>
          <w:rFonts w:hint="eastAsia"/>
        </w:rPr>
        <w:fldChar w:fldCharType="end"/>
      </w:r>
    </w:p>
    <w:p w14:paraId="467187E1">
      <w:pPr>
        <w:pStyle w:val="20"/>
        <w:tabs>
          <w:tab w:val="right" w:leader="dot" w:pos="9344"/>
        </w:tabs>
        <w:rPr>
          <w:rFonts w:hint="eastAsia" w:ascii="等线" w:hAnsi="等线" w:eastAsia="等线"/>
          <w:szCs w:val="22"/>
        </w:rPr>
      </w:pPr>
      <w:r>
        <w:rPr>
          <w:rStyle w:val="33"/>
          <w:rFonts w:hint="eastAsia"/>
        </w:rPr>
        <w:fldChar w:fldCharType="begin"/>
      </w:r>
      <w:r>
        <w:rPr>
          <w:rStyle w:val="33"/>
          <w:rFonts w:hint="eastAsia"/>
        </w:rPr>
        <w:instrText xml:space="preserve"> </w:instrText>
      </w:r>
      <w:r>
        <w:rPr>
          <w:rFonts w:hint="eastAsia"/>
        </w:rPr>
        <w:instrText xml:space="preserve">HYPERLINK \l "_Toc186218730"</w:instrText>
      </w:r>
      <w:r>
        <w:rPr>
          <w:rStyle w:val="33"/>
          <w:rFonts w:hint="eastAsia"/>
        </w:rPr>
        <w:instrText xml:space="preserve"> </w:instrText>
      </w:r>
      <w:r>
        <w:rPr>
          <w:rStyle w:val="33"/>
          <w:rFonts w:hint="eastAsia"/>
        </w:rPr>
        <w:fldChar w:fldCharType="separate"/>
      </w:r>
      <w:r>
        <w:rPr>
          <w:rStyle w:val="33"/>
          <w:rFonts w:hint="eastAsia" w:hAnsi="黑体"/>
        </w:rPr>
        <w:t xml:space="preserve">11 </w:t>
      </w:r>
      <w:r>
        <w:rPr>
          <w:rStyle w:val="33"/>
          <w:rFonts w:hint="eastAsia"/>
        </w:rPr>
        <w:t xml:space="preserve"> 监督与管理</w:t>
      </w:r>
      <w:r>
        <w:rPr>
          <w:rFonts w:hint="eastAsia"/>
        </w:rPr>
        <w:tab/>
      </w:r>
      <w:r>
        <w:rPr>
          <w:rFonts w:hint="eastAsia"/>
        </w:rPr>
        <w:fldChar w:fldCharType="begin"/>
      </w:r>
      <w:r>
        <w:rPr>
          <w:rFonts w:hint="eastAsia"/>
        </w:rPr>
        <w:instrText xml:space="preserve"> </w:instrText>
      </w:r>
      <w:r>
        <w:instrText xml:space="preserve">PAGEREF _Toc186218730 \h</w:instrText>
      </w:r>
      <w:r>
        <w:rPr>
          <w:rFonts w:hint="eastAsia"/>
        </w:rPr>
        <w:instrText xml:space="preserve"> </w:instrText>
      </w:r>
      <w:r>
        <w:fldChar w:fldCharType="separate"/>
      </w:r>
      <w:r>
        <w:t>10</w:t>
      </w:r>
      <w:r>
        <w:rPr>
          <w:rFonts w:hint="eastAsia"/>
        </w:rPr>
        <w:fldChar w:fldCharType="end"/>
      </w:r>
      <w:r>
        <w:rPr>
          <w:rStyle w:val="33"/>
          <w:rFonts w:hint="eastAsia"/>
        </w:rPr>
        <w:fldChar w:fldCharType="end"/>
      </w:r>
    </w:p>
    <w:p w14:paraId="5E77B6CC">
      <w:pPr>
        <w:pStyle w:val="77"/>
        <w:spacing w:after="468"/>
        <w:sectPr>
          <w:headerReference r:id="rId11" w:type="default"/>
          <w:footerReference r:id="rId13" w:type="default"/>
          <w:headerReference r:id="rId12" w:type="even"/>
          <w:footerReference r:id="rId14" w:type="even"/>
          <w:pgSz w:w="11906" w:h="16838"/>
          <w:pgMar w:top="567" w:right="1134" w:bottom="1134" w:left="1134" w:header="1418" w:footer="1134" w:gutter="284"/>
          <w:pgNumType w:fmt="upperRoman" w:start="1"/>
          <w:cols w:space="720" w:num="1"/>
          <w:formProt w:val="0"/>
          <w:docGrid w:type="lines" w:linePitch="312" w:charSpace="0"/>
        </w:sectPr>
      </w:pPr>
      <w:r>
        <w:fldChar w:fldCharType="end"/>
      </w:r>
    </w:p>
    <w:bookmarkEnd w:id="17"/>
    <w:p w14:paraId="2DFF5670">
      <w:pPr>
        <w:pStyle w:val="75"/>
        <w:spacing w:after="468" w:afterLines="0"/>
      </w:pPr>
      <w:bookmarkStart w:id="22" w:name="_Toc186218689"/>
      <w:bookmarkStart w:id="23" w:name="BookMark2"/>
      <w:r>
        <w:rPr>
          <w:spacing w:val="320"/>
        </w:rPr>
        <w:t>前</w:t>
      </w:r>
      <w:r>
        <w:t>言</w:t>
      </w:r>
      <w:bookmarkEnd w:id="18"/>
      <w:bookmarkEnd w:id="19"/>
      <w:bookmarkEnd w:id="20"/>
      <w:bookmarkEnd w:id="21"/>
      <w:bookmarkEnd w:id="22"/>
    </w:p>
    <w:p w14:paraId="5CA7BD13">
      <w:pPr>
        <w:pStyle w:val="43"/>
        <w:ind w:firstLine="420"/>
      </w:pPr>
      <w:r>
        <w:rPr>
          <w:rFonts w:hint="eastAsia"/>
        </w:rPr>
        <w:t>本文件按照GB/T 1.1—2020《标准化工作导则  第1部分：标准化文件的结构和起草规则》的规定起草。</w:t>
      </w:r>
    </w:p>
    <w:p w14:paraId="4FFFE0F2">
      <w:pPr>
        <w:pStyle w:val="43"/>
        <w:ind w:firstLine="420"/>
      </w:pPr>
      <w:r>
        <w:rPr>
          <w:rFonts w:hint="eastAsia"/>
        </w:rPr>
        <w:t>本文件是DB34/T××××《城市、乡镇“污废水零直排区”建设技术规范》的第 1</w:t>
      </w:r>
      <w:r>
        <w:t xml:space="preserve"> </w:t>
      </w:r>
      <w:r>
        <w:rPr>
          <w:rFonts w:hint="eastAsia"/>
        </w:rPr>
        <w:t>部分：总则。DB34/T××××已经发布了以下部分：</w:t>
      </w:r>
    </w:p>
    <w:p w14:paraId="2EB92556">
      <w:pPr>
        <w:pStyle w:val="43"/>
        <w:ind w:firstLine="420"/>
      </w:pPr>
      <w:r>
        <w:rPr>
          <w:rFonts w:ascii="Times New Roman"/>
        </w:rPr>
        <w:t>——</w:t>
      </w:r>
      <w:r>
        <w:rPr>
          <w:rFonts w:hint="eastAsia"/>
        </w:rPr>
        <w:t>第 1 部分：总则；</w:t>
      </w:r>
    </w:p>
    <w:p w14:paraId="45A02248">
      <w:pPr>
        <w:pStyle w:val="43"/>
        <w:ind w:firstLine="420"/>
      </w:pPr>
      <w:r>
        <w:rPr>
          <w:rFonts w:ascii="Times New Roman"/>
        </w:rPr>
        <w:t>——</w:t>
      </w:r>
      <w:r>
        <w:rPr>
          <w:rFonts w:hint="eastAsia"/>
        </w:rPr>
        <w:t>第 2 部分：排查；</w:t>
      </w:r>
    </w:p>
    <w:p w14:paraId="79E2AA23">
      <w:pPr>
        <w:pStyle w:val="43"/>
        <w:ind w:firstLine="420"/>
      </w:pPr>
      <w:r>
        <w:rPr>
          <w:rFonts w:ascii="Times New Roman"/>
        </w:rPr>
        <w:t>——</w:t>
      </w:r>
      <w:r>
        <w:rPr>
          <w:rFonts w:hint="eastAsia"/>
        </w:rPr>
        <w:t>第 3 部分：设计与施工；</w:t>
      </w:r>
    </w:p>
    <w:p w14:paraId="774AEA16">
      <w:pPr>
        <w:pStyle w:val="43"/>
        <w:ind w:firstLine="420"/>
      </w:pPr>
      <w:r>
        <w:rPr>
          <w:rFonts w:ascii="Times New Roman"/>
        </w:rPr>
        <w:t>——</w:t>
      </w:r>
      <w:r>
        <w:rPr>
          <w:rFonts w:hint="eastAsia"/>
        </w:rPr>
        <w:t>第 4 部分：评估与验收；</w:t>
      </w:r>
    </w:p>
    <w:p w14:paraId="3537C7F6">
      <w:pPr>
        <w:pStyle w:val="43"/>
        <w:ind w:firstLine="420"/>
      </w:pPr>
      <w:r>
        <w:rPr>
          <w:rFonts w:ascii="Times New Roman"/>
        </w:rPr>
        <w:t>——</w:t>
      </w:r>
      <w:r>
        <w:rPr>
          <w:rFonts w:hint="eastAsia"/>
        </w:rPr>
        <w:t>第 5 部分：运行维护。</w:t>
      </w:r>
    </w:p>
    <w:p w14:paraId="2B9F8596">
      <w:pPr>
        <w:pStyle w:val="43"/>
        <w:ind w:firstLine="420"/>
      </w:pPr>
      <w:r>
        <w:rPr>
          <w:rFonts w:hint="eastAsia"/>
        </w:rPr>
        <w:t>请注意本文件的某些内容可能涉及专利。本文件的发布机构不承担识别专利的责任。</w:t>
      </w:r>
    </w:p>
    <w:p w14:paraId="530EA866">
      <w:pPr>
        <w:pStyle w:val="43"/>
        <w:ind w:firstLine="420"/>
      </w:pPr>
      <w:r>
        <w:rPr>
          <w:rFonts w:hint="eastAsia"/>
        </w:rPr>
        <w:t>本文件由安徽省生态环境厅提出并归口。</w:t>
      </w:r>
    </w:p>
    <w:p w14:paraId="774D1E5D">
      <w:pPr>
        <w:pStyle w:val="43"/>
        <w:ind w:firstLine="420"/>
      </w:pPr>
      <w:r>
        <w:rPr>
          <w:rFonts w:hint="eastAsia"/>
        </w:rPr>
        <w:t>本文件起草单位：</w:t>
      </w:r>
      <w:r>
        <w:rPr>
          <w:rFonts w:hint="eastAsia" w:hAnsi="宋体" w:cs="宋体"/>
        </w:rPr>
        <w:t>安徽省生态环境监测中心</w:t>
      </w:r>
      <w:r>
        <w:rPr>
          <w:rFonts w:hint="eastAsia" w:hAnsi="宋体" w:cs="宋体"/>
          <w:szCs w:val="21"/>
        </w:rPr>
        <w:t>(安徽省重污染天气预报预警中心、安徽省机动车排气污染监控中心)</w:t>
      </w:r>
      <w:r>
        <w:rPr>
          <w:rFonts w:hint="eastAsia" w:hAnsi="宋体" w:cs="宋体"/>
        </w:rPr>
        <w:t>、安徽建筑大学、安徽久吾天虹环保科技有限公司、安徽省通源环境节能股份有限公司、安徽环境科技集团股份有限公司</w:t>
      </w:r>
      <w:r>
        <w:rPr>
          <w:rFonts w:hint="eastAsia"/>
        </w:rPr>
        <w:t>。</w:t>
      </w:r>
    </w:p>
    <w:p w14:paraId="3F1A673F">
      <w:pPr>
        <w:pStyle w:val="43"/>
        <w:ind w:firstLine="420"/>
      </w:pPr>
      <w:r>
        <w:rPr>
          <w:rFonts w:hint="eastAsia"/>
        </w:rPr>
        <w:t>本文件主要起草人：。</w:t>
      </w:r>
    </w:p>
    <w:p w14:paraId="4E097450">
      <w:pPr>
        <w:pStyle w:val="43"/>
        <w:ind w:firstLine="420"/>
      </w:pPr>
    </w:p>
    <w:p w14:paraId="32608B1B">
      <w:pPr>
        <w:pStyle w:val="43"/>
        <w:ind w:firstLine="420"/>
        <w:sectPr>
          <w:headerReference r:id="rId15" w:type="default"/>
          <w:footerReference r:id="rId17" w:type="default"/>
          <w:headerReference r:id="rId16" w:type="even"/>
          <w:footerReference r:id="rId18" w:type="even"/>
          <w:pgSz w:w="11906" w:h="16838"/>
          <w:pgMar w:top="567" w:right="1134" w:bottom="1134" w:left="1134" w:header="1418" w:footer="1134" w:gutter="284"/>
          <w:pgNumType w:fmt="upperRoman"/>
          <w:cols w:space="720" w:num="1"/>
          <w:formProt w:val="0"/>
          <w:docGrid w:type="lines" w:linePitch="312" w:charSpace="0"/>
        </w:sectPr>
      </w:pPr>
    </w:p>
    <w:bookmarkEnd w:id="23"/>
    <w:p w14:paraId="4C8F64CB">
      <w:pPr>
        <w:spacing w:line="20" w:lineRule="exact"/>
        <w:jc w:val="center"/>
        <w:rPr>
          <w:rFonts w:ascii="黑体" w:eastAsia="黑体"/>
          <w:sz w:val="32"/>
          <w:szCs w:val="32"/>
        </w:rPr>
      </w:pPr>
      <w:bookmarkStart w:id="24" w:name="BookMark4"/>
    </w:p>
    <w:p w14:paraId="19B58185">
      <w:pPr>
        <w:spacing w:line="20" w:lineRule="exact"/>
        <w:jc w:val="center"/>
        <w:rPr>
          <w:rFonts w:ascii="黑体" w:eastAsia="黑体"/>
          <w:sz w:val="32"/>
          <w:szCs w:val="32"/>
        </w:rPr>
      </w:pPr>
    </w:p>
    <w:p w14:paraId="0BF735DA">
      <w:pPr>
        <w:pStyle w:val="162"/>
        <w:spacing w:before="567" w:beforeLines="182" w:after="686" w:afterLines="220"/>
      </w:pPr>
      <w:bookmarkStart w:id="25" w:name="NEW_STAND_NAME"/>
      <w:r>
        <w:rPr>
          <w:rFonts w:hint="eastAsia"/>
        </w:rPr>
        <w:t>城市、乡镇“污废水零直排区”建设技术规范</w:t>
      </w:r>
      <w:r>
        <w:br w:type="textWrapping"/>
      </w:r>
      <w:r>
        <w:rPr>
          <w:rFonts w:hint="eastAsia"/>
        </w:rPr>
        <w:t>第 1 部分：总则</w:t>
      </w:r>
    </w:p>
    <w:bookmarkEnd w:id="25"/>
    <w:p w14:paraId="7995F693">
      <w:pPr>
        <w:pStyle w:val="89"/>
        <w:spacing w:before="312" w:beforeLines="0" w:after="312" w:afterLines="0"/>
      </w:pPr>
      <w:bookmarkStart w:id="26" w:name="_Toc9953"/>
      <w:bookmarkStart w:id="27" w:name="_Toc186218622"/>
      <w:bookmarkStart w:id="28" w:name="_Toc29339"/>
      <w:bookmarkStart w:id="29" w:name="_Toc17233325"/>
      <w:bookmarkStart w:id="30" w:name="_Toc186218690"/>
      <w:bookmarkStart w:id="31" w:name="_Toc26986771"/>
      <w:bookmarkStart w:id="32" w:name="_Toc26648465"/>
      <w:bookmarkStart w:id="33" w:name="_Toc24884211"/>
      <w:bookmarkStart w:id="34" w:name="_Toc26718930"/>
      <w:bookmarkStart w:id="35" w:name="_Toc17233333"/>
      <w:bookmarkStart w:id="36" w:name="_Toc24884218"/>
      <w:bookmarkStart w:id="37" w:name="_Toc24999"/>
      <w:bookmarkStart w:id="38" w:name="_Toc26986530"/>
      <w:r>
        <w:rPr>
          <w:rFonts w:hint="eastAsia"/>
        </w:rPr>
        <w:t>范围</w:t>
      </w:r>
      <w:bookmarkEnd w:id="26"/>
      <w:bookmarkEnd w:id="27"/>
      <w:bookmarkEnd w:id="28"/>
      <w:bookmarkEnd w:id="29"/>
      <w:bookmarkEnd w:id="30"/>
      <w:bookmarkEnd w:id="31"/>
      <w:bookmarkEnd w:id="32"/>
      <w:bookmarkEnd w:id="33"/>
      <w:bookmarkEnd w:id="34"/>
      <w:bookmarkEnd w:id="35"/>
      <w:bookmarkEnd w:id="36"/>
      <w:bookmarkEnd w:id="37"/>
      <w:bookmarkEnd w:id="38"/>
    </w:p>
    <w:p w14:paraId="2416EF67">
      <w:pPr>
        <w:pStyle w:val="43"/>
        <w:ind w:firstLine="420"/>
      </w:pPr>
      <w:bookmarkStart w:id="39" w:name="_Toc24884219"/>
      <w:bookmarkStart w:id="40" w:name="_Toc26718931"/>
      <w:bookmarkStart w:id="41" w:name="_Toc17233334"/>
      <w:bookmarkStart w:id="42" w:name="_Toc26986772"/>
      <w:bookmarkStart w:id="43" w:name="_Toc17233326"/>
      <w:bookmarkStart w:id="44" w:name="_Toc26648466"/>
      <w:bookmarkStart w:id="45" w:name="_Toc26986531"/>
      <w:bookmarkStart w:id="46" w:name="_Toc24884212"/>
      <w:r>
        <w:rPr>
          <w:rFonts w:hint="eastAsia"/>
        </w:rPr>
        <w:t>本文件规定了城市、乡镇“污废水零直排区”建设的术语和定义、基本原则和一般规定、建设内容和工作流程、方案编制、排查、建设与施工、评估与验收、运行与维护和监督与管理。</w:t>
      </w:r>
    </w:p>
    <w:p w14:paraId="62EE699F">
      <w:pPr>
        <w:pStyle w:val="43"/>
        <w:ind w:firstLine="420"/>
        <w:rPr>
          <w:color w:val="FF0000"/>
          <w:highlight w:val="yellow"/>
        </w:rPr>
      </w:pPr>
      <w:r>
        <w:rPr>
          <w:rFonts w:hint="eastAsia"/>
          <w:color w:val="FF0000"/>
          <w:highlight w:val="yellow"/>
        </w:rPr>
        <w:t>本文件适用于城市建成区</w:t>
      </w:r>
      <w:r>
        <w:rPr>
          <w:rFonts w:hint="eastAsia"/>
          <w:color w:val="FF0000"/>
          <w:highlight w:val="yellow"/>
          <w:lang w:val="en-US" w:eastAsia="zh-CN"/>
        </w:rPr>
        <w:t>和</w:t>
      </w:r>
      <w:r>
        <w:rPr>
          <w:rFonts w:hint="eastAsia"/>
          <w:color w:val="FF0000"/>
          <w:highlight w:val="yellow"/>
        </w:rPr>
        <w:t>乡镇人民政府驻地“污废水零直排区”建设中的排查、设计与施工、评估与验收、运行维护等整个工作流程。</w:t>
      </w:r>
    </w:p>
    <w:p w14:paraId="727DF003">
      <w:pPr>
        <w:pStyle w:val="89"/>
        <w:spacing w:before="312" w:beforeLines="0" w:after="312" w:afterLines="0"/>
      </w:pPr>
      <w:bookmarkStart w:id="47" w:name="_Toc186218623"/>
      <w:bookmarkStart w:id="48" w:name="_Toc4584"/>
      <w:bookmarkStart w:id="49" w:name="_Toc1974"/>
      <w:bookmarkStart w:id="50" w:name="_Toc14211"/>
      <w:bookmarkStart w:id="51" w:name="_Toc186218691"/>
      <w:r>
        <w:rPr>
          <w:rFonts w:hint="eastAsia"/>
        </w:rPr>
        <w:t>规范性引用文件</w:t>
      </w:r>
      <w:bookmarkEnd w:id="39"/>
      <w:bookmarkEnd w:id="40"/>
      <w:bookmarkEnd w:id="41"/>
      <w:bookmarkEnd w:id="42"/>
      <w:bookmarkEnd w:id="43"/>
      <w:bookmarkEnd w:id="44"/>
      <w:bookmarkEnd w:id="45"/>
      <w:bookmarkEnd w:id="46"/>
      <w:bookmarkEnd w:id="47"/>
      <w:bookmarkEnd w:id="48"/>
      <w:bookmarkEnd w:id="49"/>
      <w:bookmarkEnd w:id="50"/>
      <w:bookmarkEnd w:id="51"/>
    </w:p>
    <w:p w14:paraId="3B92FE75">
      <w:pPr>
        <w:pStyle w:val="43"/>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4F503490">
      <w:pPr>
        <w:pStyle w:val="43"/>
        <w:ind w:firstLine="420"/>
      </w:pPr>
      <w:r>
        <w:rPr>
          <w:rFonts w:hint="eastAsia"/>
        </w:rPr>
        <w:t>GB 7231 工业管道的基本识别色、识别符号和安全标识</w:t>
      </w:r>
    </w:p>
    <w:p w14:paraId="43212F1B">
      <w:pPr>
        <w:pStyle w:val="43"/>
        <w:ind w:firstLine="420"/>
      </w:pPr>
      <w:r>
        <w:rPr>
          <w:rFonts w:hint="eastAsia"/>
        </w:rPr>
        <w:t>GB 8978 污水综合排放标准</w:t>
      </w:r>
    </w:p>
    <w:p w14:paraId="3B280A32">
      <w:pPr>
        <w:pStyle w:val="43"/>
        <w:ind w:firstLine="420"/>
      </w:pPr>
      <w:r>
        <w:rPr>
          <w:rFonts w:hint="eastAsia"/>
        </w:rPr>
        <w:t>GB 15562.1 环境保护图形标志排放口（源）</w:t>
      </w:r>
    </w:p>
    <w:p w14:paraId="46D4E780">
      <w:pPr>
        <w:pStyle w:val="43"/>
        <w:ind w:firstLine="420"/>
      </w:pPr>
      <w:r>
        <w:rPr>
          <w:rFonts w:hint="eastAsia"/>
        </w:rPr>
        <w:t>GB 18466 医疗机构水污染物排放标准</w:t>
      </w:r>
    </w:p>
    <w:p w14:paraId="372B8FC4">
      <w:pPr>
        <w:pStyle w:val="43"/>
        <w:ind w:firstLine="420"/>
      </w:pPr>
      <w:r>
        <w:rPr>
          <w:rFonts w:hint="eastAsia"/>
        </w:rPr>
        <w:t>GB/T 18894 电子文件归档与电子档案管理规范</w:t>
      </w:r>
    </w:p>
    <w:p w14:paraId="631D39F5">
      <w:pPr>
        <w:pStyle w:val="43"/>
        <w:ind w:firstLine="420"/>
      </w:pPr>
      <w:r>
        <w:rPr>
          <w:rFonts w:hint="eastAsia"/>
        </w:rPr>
        <w:t>GB 18918 城镇污水处理厂污染物排放标准</w:t>
      </w:r>
    </w:p>
    <w:p w14:paraId="53E91AFA">
      <w:pPr>
        <w:pStyle w:val="43"/>
        <w:ind w:firstLine="420"/>
      </w:pPr>
      <w:r>
        <w:rPr>
          <w:rFonts w:hint="eastAsia"/>
        </w:rPr>
        <w:t>GB 26877 汽车维修业水污染物排放标准</w:t>
      </w:r>
    </w:p>
    <w:p w14:paraId="3F3812CB">
      <w:pPr>
        <w:pStyle w:val="43"/>
        <w:ind w:firstLine="420"/>
        <w:rPr>
          <w:rFonts w:hint="eastAsia"/>
        </w:rPr>
      </w:pPr>
      <w:r>
        <w:rPr>
          <w:rFonts w:hint="eastAsia"/>
        </w:rPr>
        <w:t>GB/T 31962 污水排入城镇下水道水质标准</w:t>
      </w:r>
    </w:p>
    <w:p w14:paraId="6264660B">
      <w:pPr>
        <w:pStyle w:val="43"/>
        <w:ind w:firstLine="420"/>
      </w:pPr>
      <w:r>
        <w:rPr>
          <w:rFonts w:hint="eastAsia"/>
        </w:rPr>
        <w:t>GB/T 39549 纤维增强热固性复合材料化粪池</w:t>
      </w:r>
    </w:p>
    <w:p w14:paraId="2F8381BE">
      <w:pPr>
        <w:pStyle w:val="43"/>
        <w:ind w:firstLine="420"/>
      </w:pPr>
      <w:r>
        <w:rPr>
          <w:rFonts w:hint="eastAsia"/>
        </w:rPr>
        <w:t>GB 50014 室外排水设计标准</w:t>
      </w:r>
    </w:p>
    <w:p w14:paraId="2770F03A">
      <w:pPr>
        <w:pStyle w:val="43"/>
        <w:ind w:firstLine="420"/>
      </w:pPr>
      <w:r>
        <w:rPr>
          <w:rFonts w:hint="eastAsia"/>
        </w:rPr>
        <w:t>GB 50015 建筑给水排水设计标准</w:t>
      </w:r>
    </w:p>
    <w:p w14:paraId="48D619FF">
      <w:pPr>
        <w:pStyle w:val="43"/>
        <w:ind w:firstLine="420"/>
      </w:pPr>
      <w:r>
        <w:rPr>
          <w:rFonts w:hint="eastAsia"/>
        </w:rPr>
        <w:t>GB 50032 室外给水排水和燃气热力工程抗震设计规范</w:t>
      </w:r>
    </w:p>
    <w:p w14:paraId="65FD24B1">
      <w:pPr>
        <w:pStyle w:val="43"/>
        <w:ind w:firstLine="420"/>
        <w:rPr>
          <w:rFonts w:hint="eastAsia"/>
        </w:rPr>
      </w:pPr>
      <w:r>
        <w:rPr>
          <w:rFonts w:hint="eastAsia"/>
        </w:rPr>
        <w:t>GB/T 50125 给水排水工程基本术语标准</w:t>
      </w:r>
    </w:p>
    <w:p w14:paraId="001B6CB6">
      <w:pPr>
        <w:pStyle w:val="43"/>
        <w:ind w:firstLine="420"/>
      </w:pPr>
      <w:r>
        <w:rPr>
          <w:rFonts w:hint="eastAsia"/>
        </w:rPr>
        <w:t>GB 50141 给水排水构筑物工程施工及验收规范</w:t>
      </w:r>
    </w:p>
    <w:p w14:paraId="22D45593">
      <w:pPr>
        <w:pStyle w:val="43"/>
        <w:ind w:firstLine="420"/>
      </w:pPr>
      <w:r>
        <w:rPr>
          <w:rFonts w:hint="eastAsia"/>
        </w:rPr>
        <w:t>GB 50184 工业金属管道工程施工质量验收规范</w:t>
      </w:r>
    </w:p>
    <w:p w14:paraId="00934E25">
      <w:pPr>
        <w:pStyle w:val="43"/>
        <w:ind w:firstLine="420"/>
      </w:pPr>
      <w:r>
        <w:rPr>
          <w:rFonts w:hint="eastAsia"/>
        </w:rPr>
        <w:t>GB 50187 工业企业总平面设计规范</w:t>
      </w:r>
    </w:p>
    <w:p w14:paraId="7E83DFA6">
      <w:pPr>
        <w:pStyle w:val="43"/>
        <w:ind w:firstLine="420"/>
      </w:pPr>
      <w:r>
        <w:rPr>
          <w:rFonts w:hint="eastAsia"/>
        </w:rPr>
        <w:t>GB 50235 工业金属管道工程施工规范</w:t>
      </w:r>
    </w:p>
    <w:p w14:paraId="1D354FD0">
      <w:pPr>
        <w:pStyle w:val="43"/>
        <w:ind w:firstLine="420"/>
      </w:pPr>
      <w:r>
        <w:rPr>
          <w:rFonts w:hint="eastAsia"/>
        </w:rPr>
        <w:t>GB 50242 建筑给水排水及采暖工程施工质量验收规范</w:t>
      </w:r>
    </w:p>
    <w:p w14:paraId="4B1B4901">
      <w:pPr>
        <w:pStyle w:val="43"/>
        <w:ind w:firstLine="420"/>
      </w:pPr>
      <w:r>
        <w:rPr>
          <w:rFonts w:hint="eastAsia"/>
        </w:rPr>
        <w:t>GB 50268 给水排水管道工程施工及验收规范</w:t>
      </w:r>
    </w:p>
    <w:p w14:paraId="7B27E591">
      <w:pPr>
        <w:pStyle w:val="43"/>
        <w:ind w:firstLine="420"/>
      </w:pPr>
      <w:r>
        <w:rPr>
          <w:rFonts w:hint="eastAsia"/>
        </w:rPr>
        <w:t>GB 50316 工业金属管道设计规范</w:t>
      </w:r>
    </w:p>
    <w:p w14:paraId="1A053B97">
      <w:pPr>
        <w:pStyle w:val="43"/>
        <w:ind w:firstLine="420"/>
      </w:pPr>
      <w:r>
        <w:rPr>
          <w:rFonts w:hint="eastAsia"/>
        </w:rPr>
        <w:t>GB/T 50328 建设工程文件归档整理规范</w:t>
      </w:r>
    </w:p>
    <w:p w14:paraId="5C2CCCD9">
      <w:pPr>
        <w:pStyle w:val="43"/>
        <w:ind w:firstLine="420"/>
      </w:pPr>
      <w:r>
        <w:rPr>
          <w:rFonts w:hint="eastAsia"/>
        </w:rPr>
        <w:t>GB 50400 建筑与小区雨水控制及利用工程技术规范</w:t>
      </w:r>
    </w:p>
    <w:p w14:paraId="75CF0B4D">
      <w:pPr>
        <w:pStyle w:val="43"/>
        <w:ind w:firstLine="420"/>
      </w:pPr>
      <w:r>
        <w:rPr>
          <w:rFonts w:hint="eastAsia"/>
        </w:rPr>
        <w:t>GB 50726 工业设备及管道防腐蚀工程施工规范</w:t>
      </w:r>
    </w:p>
    <w:p w14:paraId="527AB30C">
      <w:pPr>
        <w:pStyle w:val="43"/>
        <w:ind w:firstLine="420"/>
        <w:rPr>
          <w:rFonts w:hint="eastAsia"/>
        </w:rPr>
      </w:pPr>
      <w:r>
        <w:rPr>
          <w:rFonts w:hint="eastAsia"/>
        </w:rPr>
        <w:t>GB 50873 化学工业给水排水管道设计规范</w:t>
      </w:r>
    </w:p>
    <w:p w14:paraId="3D6590EE">
      <w:pPr>
        <w:pStyle w:val="43"/>
        <w:ind w:firstLine="420"/>
        <w:rPr>
          <w:rFonts w:hint="eastAsia"/>
        </w:rPr>
      </w:pPr>
      <w:r>
        <w:rPr>
          <w:rFonts w:hint="eastAsia"/>
        </w:rPr>
        <w:t>GB 51174</w:t>
      </w:r>
      <w:r>
        <w:rPr>
          <w:rFonts w:hint="eastAsia"/>
          <w:lang w:val="en-US" w:eastAsia="zh-CN"/>
        </w:rPr>
        <w:t xml:space="preserve"> </w:t>
      </w:r>
      <w:r>
        <w:rPr>
          <w:rFonts w:hint="eastAsia"/>
        </w:rPr>
        <w:t>城镇雨水调蓄工程技术规范</w:t>
      </w:r>
    </w:p>
    <w:p w14:paraId="5FB756C4">
      <w:pPr>
        <w:pStyle w:val="43"/>
        <w:ind w:firstLine="420"/>
        <w:rPr>
          <w:rFonts w:hint="eastAsia"/>
        </w:rPr>
      </w:pPr>
      <w:r>
        <w:rPr>
          <w:rFonts w:hint="eastAsia"/>
        </w:rPr>
        <w:t>GB</w:t>
      </w:r>
      <w:r>
        <w:rPr>
          <w:rFonts w:hint="eastAsia"/>
          <w:lang w:val="en-US" w:eastAsia="zh-CN"/>
        </w:rPr>
        <w:t xml:space="preserve"> </w:t>
      </w:r>
      <w:r>
        <w:rPr>
          <w:rFonts w:hint="eastAsia"/>
        </w:rPr>
        <w:t>55027</w:t>
      </w:r>
      <w:r>
        <w:rPr>
          <w:rFonts w:hint="eastAsia"/>
          <w:lang w:val="en-US" w:eastAsia="zh-CN"/>
        </w:rPr>
        <w:t xml:space="preserve"> </w:t>
      </w:r>
      <w:r>
        <w:rPr>
          <w:rFonts w:hint="eastAsia"/>
        </w:rPr>
        <w:t>城乡排水工程项目规范</w:t>
      </w:r>
    </w:p>
    <w:p w14:paraId="04DAC89E">
      <w:pPr>
        <w:pStyle w:val="43"/>
        <w:ind w:firstLine="420"/>
      </w:pPr>
      <w:r>
        <w:rPr>
          <w:rFonts w:hint="eastAsia"/>
        </w:rPr>
        <w:t>CJJ 6 城镇排水管道维护安全技术规程</w:t>
      </w:r>
    </w:p>
    <w:p w14:paraId="3B843D76">
      <w:pPr>
        <w:pStyle w:val="43"/>
        <w:ind w:firstLine="420"/>
      </w:pPr>
      <w:r>
        <w:rPr>
          <w:rFonts w:hint="eastAsia"/>
        </w:rPr>
        <w:t>CJJ 60 城镇污水处理厂运行、维护及安全技术规程</w:t>
      </w:r>
    </w:p>
    <w:p w14:paraId="2A45F903">
      <w:pPr>
        <w:pStyle w:val="43"/>
        <w:ind w:firstLine="420"/>
      </w:pPr>
      <w:r>
        <w:rPr>
          <w:rFonts w:hint="eastAsia"/>
        </w:rPr>
        <w:t>CJJ 68 城镇排水管渠与泵站运行、维护及安全技术规程</w:t>
      </w:r>
    </w:p>
    <w:p w14:paraId="43068F1A">
      <w:pPr>
        <w:pStyle w:val="43"/>
        <w:ind w:firstLine="420"/>
      </w:pPr>
      <w:r>
        <w:rPr>
          <w:rFonts w:hint="eastAsia"/>
        </w:rPr>
        <w:t>CJJ/T 120 城镇排水系统电气与自动化工程技术标准</w:t>
      </w:r>
    </w:p>
    <w:p w14:paraId="076DB4B7">
      <w:pPr>
        <w:pStyle w:val="43"/>
        <w:ind w:firstLine="420"/>
        <w:rPr>
          <w:rFonts w:hint="eastAsia"/>
        </w:rPr>
      </w:pPr>
      <w:r>
        <w:rPr>
          <w:rFonts w:hint="eastAsia"/>
        </w:rPr>
        <w:t>CJJ 181 城镇排水管道检测与评估技术规程</w:t>
      </w:r>
    </w:p>
    <w:p w14:paraId="5CD9585F">
      <w:pPr>
        <w:pStyle w:val="43"/>
        <w:ind w:firstLine="420"/>
        <w:rPr>
          <w:rFonts w:hint="eastAsia"/>
        </w:rPr>
      </w:pPr>
      <w:r>
        <w:rPr>
          <w:rFonts w:hint="eastAsia"/>
        </w:rPr>
        <w:t>CJJ/T 210 城镇排水管道非开挖修复更新工程技术规程</w:t>
      </w:r>
    </w:p>
    <w:p w14:paraId="4839F05C">
      <w:pPr>
        <w:pStyle w:val="43"/>
        <w:ind w:firstLine="420"/>
        <w:rPr>
          <w:rFonts w:hint="eastAsia"/>
        </w:rPr>
      </w:pPr>
      <w:r>
        <w:rPr>
          <w:rFonts w:hint="eastAsia"/>
        </w:rPr>
        <w:t>HJ 554 饮食业环境保护技术规范</w:t>
      </w:r>
    </w:p>
    <w:p w14:paraId="5934B233">
      <w:pPr>
        <w:pStyle w:val="43"/>
        <w:ind w:firstLine="420"/>
        <w:rPr>
          <w:rFonts w:hint="eastAsia"/>
        </w:rPr>
      </w:pPr>
      <w:r>
        <w:rPr>
          <w:rFonts w:hint="eastAsia"/>
        </w:rPr>
        <w:t>HJ 1308 入河入海排污口监督管理技术指南整治 总则</w:t>
      </w:r>
    </w:p>
    <w:p w14:paraId="3F66442D">
      <w:pPr>
        <w:pStyle w:val="43"/>
        <w:ind w:firstLine="420"/>
      </w:pPr>
      <w:r>
        <w:rPr>
          <w:rFonts w:hint="eastAsia"/>
        </w:rPr>
        <w:t>HJ 2038 城镇污水处理厂运行监督管理技术规范</w:t>
      </w:r>
    </w:p>
    <w:p w14:paraId="66884C22">
      <w:pPr>
        <w:pStyle w:val="43"/>
        <w:ind w:firstLine="420"/>
      </w:pPr>
      <w:r>
        <w:rPr>
          <w:rFonts w:hint="eastAsia"/>
        </w:rPr>
        <w:t>JC/T 2460 预制钢筋混凝土化粪池</w:t>
      </w:r>
    </w:p>
    <w:p w14:paraId="5098B552">
      <w:pPr>
        <w:pStyle w:val="43"/>
        <w:ind w:firstLine="420"/>
      </w:pPr>
      <w:r>
        <w:t>DB34/T 2710</w:t>
      </w:r>
      <w:r>
        <w:rPr>
          <w:rFonts w:hint="eastAsia"/>
        </w:rPr>
        <w:t xml:space="preserve"> 巢湖流域城镇污水处理厂和工业行业主要水污染物排放限值</w:t>
      </w:r>
    </w:p>
    <w:p w14:paraId="508687AC">
      <w:pPr>
        <w:pStyle w:val="43"/>
        <w:ind w:firstLine="420"/>
        <w:rPr>
          <w:rFonts w:hint="eastAsia"/>
        </w:rPr>
      </w:pPr>
      <w:r>
        <w:fldChar w:fldCharType="begin"/>
      </w:r>
      <w:r>
        <w:instrText xml:space="preserve"> HYPERLINK "http://bzxx.ahbz.org.cn/searchListDetail.html?type=0&amp;id=13795757" \t "http://bzxx.ahbz.org.cn/searchList.html?type=3&amp;keyWord=DB34/_blank" </w:instrText>
      </w:r>
      <w:r>
        <w:fldChar w:fldCharType="separate"/>
      </w:r>
      <w:r>
        <w:t>DB34/T 5031-2015</w:t>
      </w:r>
      <w:r>
        <w:fldChar w:fldCharType="end"/>
      </w:r>
      <w:r>
        <w:rPr>
          <w:rFonts w:hint="eastAsia"/>
        </w:rPr>
        <w:t>《安徽省海绵城市规划设计导则（试行）》</w:t>
      </w:r>
    </w:p>
    <w:p w14:paraId="09A68AC0">
      <w:pPr>
        <w:pStyle w:val="43"/>
        <w:ind w:firstLine="420"/>
      </w:pPr>
      <w:r>
        <w:t>DB34/T 5055</w:t>
      </w:r>
      <w:r>
        <w:rPr>
          <w:rFonts w:hint="eastAsia"/>
        </w:rPr>
        <w:t xml:space="preserve"> 城镇污水处理厂运行管理和评价标准</w:t>
      </w:r>
    </w:p>
    <w:p w14:paraId="1F9188A4">
      <w:pPr>
        <w:pStyle w:val="43"/>
        <w:ind w:firstLine="420"/>
      </w:pPr>
      <w:r>
        <w:rPr>
          <w:rFonts w:hint="eastAsia"/>
        </w:rPr>
        <w:t>DB3</w:t>
      </w:r>
      <w:r>
        <w:t>4</w:t>
      </w:r>
      <w:r>
        <w:rPr>
          <w:rFonts w:hint="eastAsia"/>
        </w:rPr>
        <w:t xml:space="preserve">/T </w:t>
      </w:r>
      <w:r>
        <w:t>XXXX</w:t>
      </w:r>
      <w:r>
        <w:rPr>
          <w:rFonts w:hint="eastAsia"/>
        </w:rPr>
        <w:t>.2 城市、乡镇“污废水零直排区”建设技术规范第2部分：排查</w:t>
      </w:r>
    </w:p>
    <w:p w14:paraId="3C1A8D44">
      <w:pPr>
        <w:pStyle w:val="43"/>
        <w:ind w:firstLine="420"/>
      </w:pPr>
      <w:r>
        <w:rPr>
          <w:rFonts w:hint="eastAsia"/>
        </w:rPr>
        <w:t>DB3</w:t>
      </w:r>
      <w:r>
        <w:t>4</w:t>
      </w:r>
      <w:r>
        <w:rPr>
          <w:rFonts w:hint="eastAsia"/>
        </w:rPr>
        <w:t xml:space="preserve">/T </w:t>
      </w:r>
      <w:r>
        <w:t>XXXX</w:t>
      </w:r>
      <w:r>
        <w:rPr>
          <w:rFonts w:hint="eastAsia"/>
        </w:rPr>
        <w:t>.3 城市、乡镇“污废水零直排区”建设技术规范第3部分：设计与施工</w:t>
      </w:r>
    </w:p>
    <w:p w14:paraId="3D1C7F11">
      <w:pPr>
        <w:pStyle w:val="43"/>
        <w:ind w:firstLine="420"/>
      </w:pPr>
      <w:r>
        <w:rPr>
          <w:rFonts w:hint="eastAsia"/>
        </w:rPr>
        <w:t>DB3</w:t>
      </w:r>
      <w:r>
        <w:t>4</w:t>
      </w:r>
      <w:r>
        <w:rPr>
          <w:rFonts w:hint="eastAsia"/>
        </w:rPr>
        <w:t xml:space="preserve">/T </w:t>
      </w:r>
      <w:r>
        <w:t>XXXX</w:t>
      </w:r>
      <w:r>
        <w:rPr>
          <w:rFonts w:hint="eastAsia"/>
        </w:rPr>
        <w:t>.4 城市、乡镇“污废水零直排区”建设技术规范第4部分：评估与验收</w:t>
      </w:r>
    </w:p>
    <w:p w14:paraId="77624BFF">
      <w:pPr>
        <w:pStyle w:val="43"/>
        <w:ind w:firstLine="420"/>
        <w:rPr>
          <w:rFonts w:hint="eastAsia"/>
        </w:rPr>
      </w:pPr>
      <w:r>
        <w:rPr>
          <w:rFonts w:hint="eastAsia"/>
        </w:rPr>
        <w:t>DB3</w:t>
      </w:r>
      <w:r>
        <w:t>4</w:t>
      </w:r>
      <w:r>
        <w:rPr>
          <w:rFonts w:hint="eastAsia"/>
        </w:rPr>
        <w:t xml:space="preserve">/T </w:t>
      </w:r>
      <w:r>
        <w:t>XXXX</w:t>
      </w:r>
      <w:r>
        <w:rPr>
          <w:rFonts w:hint="eastAsia"/>
        </w:rPr>
        <w:t>.5 城市、乡镇“污废水零直排区”建设技术规范第5部分：运行维护</w:t>
      </w:r>
    </w:p>
    <w:p w14:paraId="7B3E0703">
      <w:pPr>
        <w:pStyle w:val="43"/>
        <w:ind w:firstLine="420"/>
        <w:rPr>
          <w:rFonts w:hint="eastAsia"/>
        </w:rPr>
      </w:pPr>
      <w:r>
        <w:rPr>
          <w:rFonts w:hint="eastAsia"/>
        </w:rPr>
        <w:t>《海绵城市建设技术指南——低影响开发雨水系统构建（试行）》（建城函[2014]275号）</w:t>
      </w:r>
    </w:p>
    <w:p w14:paraId="098E4E62">
      <w:pPr>
        <w:pStyle w:val="89"/>
        <w:spacing w:before="312" w:beforeLines="0" w:after="312" w:afterLines="0"/>
      </w:pPr>
      <w:bookmarkStart w:id="52" w:name="_Toc13344"/>
      <w:bookmarkStart w:id="53" w:name="_Toc186218624"/>
      <w:bookmarkStart w:id="54" w:name="_Toc18392"/>
      <w:bookmarkStart w:id="55" w:name="_Toc186218692"/>
      <w:bookmarkStart w:id="56" w:name="_Toc2973"/>
      <w:r>
        <w:rPr>
          <w:rFonts w:hint="eastAsia"/>
          <w:szCs w:val="21"/>
        </w:rPr>
        <w:t>术语和定义</w:t>
      </w:r>
      <w:bookmarkEnd w:id="52"/>
      <w:bookmarkEnd w:id="53"/>
      <w:bookmarkEnd w:id="54"/>
      <w:bookmarkEnd w:id="55"/>
      <w:bookmarkEnd w:id="56"/>
    </w:p>
    <w:p w14:paraId="468AA373">
      <w:pPr>
        <w:pStyle w:val="43"/>
        <w:ind w:firstLine="420"/>
      </w:pPr>
      <w:bookmarkStart w:id="57" w:name="_Toc26986532"/>
      <w:bookmarkEnd w:id="57"/>
      <w:r>
        <w:t>下列术语和定义适用于本文件。</w:t>
      </w:r>
    </w:p>
    <w:p w14:paraId="4850B525">
      <w:pPr>
        <w:pStyle w:val="206"/>
        <w:ind w:left="420" w:hanging="420" w:hangingChars="200"/>
      </w:pPr>
      <w:bookmarkStart w:id="58" w:name="_Toc9713"/>
      <w:r>
        <w:rPr>
          <w:rFonts w:ascii="黑体" w:eastAsia="黑体"/>
        </w:rPr>
        <w:br w:type="textWrapping"/>
      </w:r>
      <w:r>
        <w:rPr>
          <w:rFonts w:hint="eastAsia" w:ascii="黑体" w:eastAsia="黑体"/>
        </w:rPr>
        <w:t>“污废水零直排区” non-direct sewage discharge area</w:t>
      </w:r>
      <w:bookmarkEnd w:id="58"/>
    </w:p>
    <w:p w14:paraId="6013F7D8">
      <w:pPr>
        <w:pStyle w:val="43"/>
        <w:ind w:firstLine="420"/>
      </w:pPr>
      <w:r>
        <w:rPr>
          <w:rFonts w:hint="eastAsia"/>
        </w:rPr>
        <w:t>以公共排水管网全覆盖、雨污全分流、污水全收集处理为目标而建成的区域。</w:t>
      </w:r>
    </w:p>
    <w:p w14:paraId="5E5083A8">
      <w:pPr>
        <w:pStyle w:val="43"/>
        <w:ind w:firstLine="171" w:firstLineChars="95"/>
        <w:rPr>
          <w:sz w:val="18"/>
          <w:szCs w:val="18"/>
        </w:rPr>
      </w:pPr>
      <w:r>
        <w:rPr>
          <w:rFonts w:hint="eastAsia" w:ascii="黑体" w:hAnsi="黑体" w:eastAsia="黑体"/>
          <w:sz w:val="18"/>
          <w:szCs w:val="18"/>
        </w:rPr>
        <w:t>注：</w:t>
      </w:r>
      <w:r>
        <w:rPr>
          <w:rFonts w:hint="eastAsia"/>
          <w:sz w:val="18"/>
          <w:szCs w:val="18"/>
        </w:rPr>
        <w:t>建设范围内基本实现污废水“应截尽截”、“应处尽处”，雨水和污废水“应分尽分”</w:t>
      </w:r>
      <w:r>
        <w:rPr>
          <w:sz w:val="18"/>
          <w:szCs w:val="18"/>
        </w:rPr>
        <w:t>。</w:t>
      </w:r>
    </w:p>
    <w:p w14:paraId="23F686AD">
      <w:pPr>
        <w:pStyle w:val="206"/>
        <w:ind w:left="420" w:hanging="420" w:hangingChars="200"/>
      </w:pPr>
      <w:bookmarkStart w:id="59" w:name="_Toc6559"/>
      <w:r>
        <w:br w:type="textWrapping"/>
      </w:r>
      <w:r>
        <w:rPr>
          <w:rFonts w:hint="eastAsia" w:ascii="黑体" w:eastAsia="黑体"/>
        </w:rPr>
        <w:t>建设单元construction unit</w:t>
      </w:r>
      <w:bookmarkEnd w:id="59"/>
    </w:p>
    <w:p w14:paraId="4D325819">
      <w:pPr>
        <w:pStyle w:val="43"/>
        <w:ind w:firstLine="420"/>
      </w:pPr>
      <w:r>
        <w:rPr>
          <w:rFonts w:hint="eastAsia"/>
        </w:rPr>
        <w:t>具有相同或相似类型、功能或用地性质，在空间或排水分区上具有一定连续性的区域。</w:t>
      </w:r>
    </w:p>
    <w:p w14:paraId="224B7B2F">
      <w:pPr>
        <w:pStyle w:val="43"/>
        <w:ind w:firstLine="171" w:firstLineChars="95"/>
        <w:rPr>
          <w:sz w:val="18"/>
          <w:szCs w:val="18"/>
        </w:rPr>
      </w:pPr>
      <w:r>
        <w:rPr>
          <w:rFonts w:hint="eastAsia" w:ascii="黑体" w:hAnsi="黑体" w:eastAsia="黑体"/>
          <w:sz w:val="18"/>
          <w:szCs w:val="18"/>
        </w:rPr>
        <w:t>注：</w:t>
      </w:r>
      <w:r>
        <w:rPr>
          <w:rFonts w:hint="eastAsia"/>
          <w:sz w:val="18"/>
          <w:szCs w:val="18"/>
        </w:rPr>
        <w:t>根据用地性质、定位并结合部门职责可划分为工业园区（工业聚集区）类、生活小区类和其他类三大建设单元。</w:t>
      </w:r>
    </w:p>
    <w:p w14:paraId="1872E601">
      <w:pPr>
        <w:pStyle w:val="206"/>
        <w:ind w:left="420" w:hanging="420" w:hangingChars="200"/>
        <w:rPr>
          <w:rFonts w:ascii="黑体" w:eastAsia="黑体"/>
        </w:rPr>
      </w:pPr>
      <w:bookmarkStart w:id="60" w:name="_Toc11161"/>
      <w:r>
        <w:br w:type="textWrapping"/>
      </w:r>
      <w:r>
        <w:rPr>
          <w:rFonts w:hint="eastAsia" w:ascii="黑体" w:eastAsia="黑体"/>
        </w:rPr>
        <w:t>排水户drainage users</w:t>
      </w:r>
      <w:bookmarkEnd w:id="60"/>
    </w:p>
    <w:p w14:paraId="68A4DC20">
      <w:pPr>
        <w:pStyle w:val="43"/>
        <w:ind w:firstLine="420"/>
      </w:pPr>
      <w:r>
        <w:rPr>
          <w:rFonts w:hint="eastAsia"/>
        </w:rPr>
        <w:t>从事工业、建筑、医疗、餐饮等活动向公共排水设施排放污水的企事业单位、个体工商户。</w:t>
      </w:r>
    </w:p>
    <w:p w14:paraId="4DD19938">
      <w:pPr>
        <w:pStyle w:val="43"/>
        <w:ind w:firstLine="420"/>
        <w:rPr>
          <w:highlight w:val="yellow"/>
        </w:rPr>
      </w:pPr>
      <w:r>
        <w:rPr>
          <w:highlight w:val="yellow"/>
        </w:rPr>
        <w:t>[</w:t>
      </w:r>
      <w:r>
        <w:rPr>
          <w:rFonts w:hint="eastAsia"/>
          <w:highlight w:val="yellow"/>
        </w:rPr>
        <w:t>来源：</w:t>
      </w:r>
      <w:r>
        <w:rPr>
          <w:highlight w:val="yellow"/>
        </w:rPr>
        <w:t>GB/T 31962</w:t>
      </w:r>
      <w:r>
        <w:rPr>
          <w:rFonts w:hint="eastAsia"/>
          <w:highlight w:val="yellow"/>
        </w:rPr>
        <w:t>，</w:t>
      </w:r>
      <w:r>
        <w:rPr>
          <w:highlight w:val="yellow"/>
        </w:rPr>
        <w:t>3.3]</w:t>
      </w:r>
    </w:p>
    <w:p w14:paraId="510A755C">
      <w:pPr>
        <w:pStyle w:val="206"/>
        <w:ind w:left="420" w:hanging="420" w:hangingChars="200"/>
      </w:pPr>
      <w:bookmarkStart w:id="61" w:name="_Toc10701"/>
      <w:r>
        <w:br w:type="textWrapping"/>
      </w:r>
      <w:r>
        <w:rPr>
          <w:rFonts w:hint="eastAsia" w:ascii="黑体" w:eastAsia="黑体"/>
        </w:rPr>
        <w:t>排水设施drainage facility</w:t>
      </w:r>
      <w:bookmarkEnd w:id="61"/>
    </w:p>
    <w:p w14:paraId="6FE7DB70">
      <w:pPr>
        <w:pStyle w:val="43"/>
        <w:ind w:firstLine="420"/>
      </w:pPr>
      <w:r>
        <w:rPr>
          <w:rFonts w:hint="eastAsia"/>
        </w:rPr>
        <w:t>排水系统中管道、构筑物和设备等的统称。</w:t>
      </w:r>
    </w:p>
    <w:p w14:paraId="0382FA56">
      <w:pPr>
        <w:pStyle w:val="206"/>
        <w:ind w:left="420" w:hanging="420" w:hangingChars="200"/>
      </w:pPr>
      <w:bookmarkStart w:id="62" w:name="_Toc24893"/>
      <w:r>
        <w:br w:type="textWrapping"/>
      </w:r>
      <w:r>
        <w:rPr>
          <w:rFonts w:hint="eastAsia" w:ascii="黑体" w:eastAsia="黑体"/>
        </w:rPr>
        <w:t>六小行业small services</w:t>
      </w:r>
      <w:bookmarkEnd w:id="62"/>
    </w:p>
    <w:p w14:paraId="296EB5FA">
      <w:pPr>
        <w:pStyle w:val="43"/>
        <w:ind w:firstLine="420"/>
      </w:pPr>
      <w:r>
        <w:rPr>
          <w:rFonts w:hint="eastAsia"/>
        </w:rPr>
        <w:t>泛指餐饮、宾馆、洗浴、洗车修理、农贸市场、沿街店铺等服务业。</w:t>
      </w:r>
    </w:p>
    <w:p w14:paraId="693FBF44">
      <w:pPr>
        <w:pStyle w:val="206"/>
        <w:ind w:left="420" w:hanging="420" w:hangingChars="200"/>
      </w:pPr>
      <w:bookmarkStart w:id="63" w:name="_Toc31092"/>
      <w:r>
        <w:br w:type="textWrapping"/>
      </w:r>
      <w:r>
        <w:rPr>
          <w:rFonts w:hint="eastAsia" w:ascii="黑体" w:eastAsia="黑体"/>
        </w:rPr>
        <w:t>污废水sewage</w:t>
      </w:r>
      <w:bookmarkEnd w:id="63"/>
    </w:p>
    <w:p w14:paraId="26987DC2">
      <w:pPr>
        <w:pStyle w:val="43"/>
        <w:ind w:firstLine="420"/>
      </w:pPr>
      <w:r>
        <w:rPr>
          <w:rFonts w:hint="eastAsia"/>
        </w:rPr>
        <w:t>在生活和生产过程中受污染的，丧失了原有使用功能的排出水。</w:t>
      </w:r>
    </w:p>
    <w:p w14:paraId="77E81D27">
      <w:pPr>
        <w:pStyle w:val="43"/>
        <w:ind w:firstLine="420"/>
        <w:rPr>
          <w:highlight w:val="yellow"/>
        </w:rPr>
      </w:pPr>
      <w:r>
        <w:rPr>
          <w:rFonts w:hint="eastAsia"/>
          <w:highlight w:val="yellow"/>
        </w:rPr>
        <w:t>[来源：GB/T 31962，3.1]</w:t>
      </w:r>
    </w:p>
    <w:p w14:paraId="70FE09F3">
      <w:pPr>
        <w:pStyle w:val="206"/>
        <w:ind w:left="420" w:hanging="420" w:hangingChars="200"/>
      </w:pPr>
      <w:bookmarkStart w:id="64" w:name="_Toc14119"/>
      <w:r>
        <w:br w:type="textWrapping"/>
      </w:r>
      <w:r>
        <w:rPr>
          <w:rFonts w:hint="eastAsia" w:ascii="黑体" w:eastAsia="黑体"/>
        </w:rPr>
        <w:t>雨污分流separation of rain and sewage</w:t>
      </w:r>
      <w:bookmarkEnd w:id="64"/>
    </w:p>
    <w:p w14:paraId="271E8FCC">
      <w:pPr>
        <w:pStyle w:val="43"/>
        <w:ind w:firstLine="420"/>
      </w:pPr>
      <w:r>
        <w:rPr>
          <w:rFonts w:hint="eastAsia"/>
        </w:rPr>
        <w:t>将雨水和污水分开的排水体制。雨水和污水各自通过独立的管道输送，进行排放或后续处理的排污方式。</w:t>
      </w:r>
    </w:p>
    <w:p w14:paraId="68E2573F">
      <w:pPr>
        <w:pStyle w:val="43"/>
        <w:ind w:firstLine="420"/>
        <w:rPr>
          <w:highlight w:val="yellow"/>
        </w:rPr>
      </w:pPr>
      <w:r>
        <w:rPr>
          <w:rFonts w:hint="eastAsia"/>
          <w:highlight w:val="yellow"/>
        </w:rPr>
        <w:t>[来源：GB/T 50125，2.0.12]</w:t>
      </w:r>
    </w:p>
    <w:p w14:paraId="361E2590">
      <w:pPr>
        <w:pStyle w:val="206"/>
        <w:ind w:left="420" w:hanging="420" w:hangingChars="200"/>
      </w:pPr>
      <w:bookmarkStart w:id="65" w:name="_Toc25908"/>
      <w:r>
        <w:br w:type="textWrapping"/>
      </w:r>
      <w:r>
        <w:rPr>
          <w:rFonts w:hint="eastAsia" w:ascii="黑体" w:eastAsia="黑体"/>
        </w:rPr>
        <w:t>清污分流separation of clean water and sewage</w:t>
      </w:r>
      <w:bookmarkEnd w:id="65"/>
    </w:p>
    <w:p w14:paraId="74EABBEA">
      <w:pPr>
        <w:pStyle w:val="43"/>
        <w:ind w:firstLine="420"/>
      </w:pPr>
      <w:r>
        <w:rPr>
          <w:rFonts w:hint="eastAsia"/>
        </w:rPr>
        <w:t>将被污染的水和未污染或低污染水分开的排水体制。通过对污废水的分质输送和处理，减少外排污染物量，降低水处理的成本。</w:t>
      </w:r>
    </w:p>
    <w:p w14:paraId="5ABEB857">
      <w:pPr>
        <w:pStyle w:val="43"/>
        <w:ind w:firstLine="420"/>
        <w:rPr>
          <w:highlight w:val="yellow"/>
        </w:rPr>
      </w:pPr>
      <w:r>
        <w:rPr>
          <w:rFonts w:hint="eastAsia"/>
          <w:highlight w:val="yellow"/>
        </w:rPr>
        <w:t>[来源：GB 50873，3.1.2]</w:t>
      </w:r>
    </w:p>
    <w:p w14:paraId="718E2D8A">
      <w:pPr>
        <w:pStyle w:val="206"/>
        <w:ind w:left="420" w:hanging="420" w:hangingChars="200"/>
      </w:pPr>
      <w:bookmarkStart w:id="66" w:name="_Toc30477"/>
      <w:r>
        <w:br w:type="textWrapping"/>
      </w:r>
      <w:r>
        <w:rPr>
          <w:rFonts w:hint="eastAsia" w:ascii="黑体" w:eastAsia="黑体"/>
        </w:rPr>
        <w:t>污污分流separation of different sewage</w:t>
      </w:r>
      <w:bookmarkEnd w:id="66"/>
    </w:p>
    <w:p w14:paraId="217A3E7A">
      <w:pPr>
        <w:pStyle w:val="43"/>
        <w:ind w:firstLine="420"/>
      </w:pPr>
      <w:r>
        <w:rPr>
          <w:rFonts w:hint="eastAsia"/>
        </w:rPr>
        <w:t>将工业企业排放的不同种类污水分别通过独立的管道输送，并采用不同的工艺进行处理，以便于针对特定污染物进行专门去除，避免稀释排放。</w:t>
      </w:r>
    </w:p>
    <w:p w14:paraId="77BA2D50">
      <w:pPr>
        <w:pStyle w:val="43"/>
        <w:ind w:firstLine="420"/>
        <w:rPr>
          <w:highlight w:val="yellow"/>
        </w:rPr>
      </w:pPr>
      <w:r>
        <w:rPr>
          <w:rFonts w:hint="eastAsia"/>
          <w:highlight w:val="yellow"/>
        </w:rPr>
        <w:t>[来源：GB 50873，3.1.2]</w:t>
      </w:r>
    </w:p>
    <w:p w14:paraId="00AB2F52">
      <w:pPr>
        <w:pStyle w:val="206"/>
        <w:ind w:left="420" w:hanging="420" w:hangingChars="200"/>
      </w:pPr>
      <w:bookmarkStart w:id="67" w:name="_Toc14645"/>
      <w:r>
        <w:br w:type="textWrapping"/>
      </w:r>
      <w:r>
        <w:rPr>
          <w:rFonts w:hint="eastAsia" w:ascii="黑体" w:eastAsia="黑体"/>
        </w:rPr>
        <w:t>排放口outlet</w:t>
      </w:r>
      <w:bookmarkEnd w:id="67"/>
    </w:p>
    <w:p w14:paraId="69D7B4E5">
      <w:pPr>
        <w:pStyle w:val="43"/>
        <w:ind w:firstLine="420"/>
      </w:pPr>
      <w:r>
        <w:rPr>
          <w:rFonts w:hint="eastAsia"/>
        </w:rPr>
        <w:t>将雨水或处理后的污水排放至公共排水设施的构筑物。</w:t>
      </w:r>
    </w:p>
    <w:p w14:paraId="77BC7EE8">
      <w:pPr>
        <w:pStyle w:val="43"/>
        <w:ind w:firstLine="420"/>
      </w:pPr>
      <w:r>
        <w:rPr>
          <w:rFonts w:hint="eastAsia"/>
        </w:rPr>
        <w:t>按照排放雨水和污水可分为排水口和排污口。</w:t>
      </w:r>
    </w:p>
    <w:p w14:paraId="5473EF03">
      <w:pPr>
        <w:pStyle w:val="43"/>
        <w:ind w:firstLine="420"/>
        <w:rPr>
          <w:highlight w:val="yellow"/>
        </w:rPr>
      </w:pPr>
      <w:r>
        <w:rPr>
          <w:rFonts w:hint="eastAsia"/>
          <w:highlight w:val="yellow"/>
        </w:rPr>
        <w:t>[来源：GB/T 50125，3.2.57]</w:t>
      </w:r>
    </w:p>
    <w:p w14:paraId="01B7C0DA">
      <w:pPr>
        <w:pStyle w:val="206"/>
        <w:ind w:left="420" w:hanging="420" w:hangingChars="200"/>
        <w:rPr>
          <w:rFonts w:ascii="黑体" w:eastAsia="黑体" w:cs="黑体"/>
        </w:rPr>
      </w:pPr>
      <w:bookmarkStart w:id="68" w:name="_Toc8728"/>
      <w:r>
        <w:br w:type="textWrapping"/>
      </w:r>
      <w:r>
        <w:rPr>
          <w:rFonts w:hint="eastAsia" w:ascii="黑体" w:eastAsia="黑体"/>
        </w:rPr>
        <w:t>排水管道密度</w:t>
      </w:r>
      <w:r>
        <w:rPr>
          <w:rFonts w:ascii="黑体" w:eastAsia="黑体"/>
        </w:rPr>
        <w:t>density of sewers in built district</w:t>
      </w:r>
      <w:bookmarkEnd w:id="68"/>
    </w:p>
    <w:p w14:paraId="59056158">
      <w:pPr>
        <w:pStyle w:val="43"/>
        <w:ind w:firstLine="420"/>
      </w:pPr>
      <w:r>
        <w:rPr>
          <w:rFonts w:hint="eastAsia"/>
        </w:rPr>
        <w:t>指一定区域内排水管道分布的疏密程度。通常以排水管道长度与区域面积的比值来表征。</w:t>
      </w:r>
    </w:p>
    <w:p w14:paraId="5BEEBCBC">
      <w:pPr>
        <w:pStyle w:val="89"/>
        <w:spacing w:before="312" w:after="312"/>
      </w:pPr>
      <w:bookmarkStart w:id="69" w:name="_Toc186218693"/>
      <w:bookmarkStart w:id="70" w:name="_Toc16091"/>
      <w:bookmarkStart w:id="71" w:name="_Toc19040"/>
      <w:bookmarkStart w:id="72" w:name="_Toc186218625"/>
      <w:bookmarkStart w:id="73" w:name="_Toc16369"/>
      <w:r>
        <w:rPr>
          <w:rFonts w:hint="eastAsia"/>
        </w:rPr>
        <w:t>基本原则和一般规定</w:t>
      </w:r>
      <w:bookmarkEnd w:id="69"/>
      <w:bookmarkEnd w:id="70"/>
      <w:bookmarkEnd w:id="71"/>
      <w:bookmarkEnd w:id="72"/>
      <w:bookmarkEnd w:id="73"/>
    </w:p>
    <w:p w14:paraId="33163486">
      <w:pPr>
        <w:pStyle w:val="90"/>
        <w:spacing w:before="156" w:after="156"/>
        <w:rPr>
          <w:rFonts w:hint="eastAsia"/>
        </w:rPr>
      </w:pPr>
      <w:bookmarkStart w:id="74" w:name="_Toc25399"/>
      <w:bookmarkStart w:id="75" w:name="_Toc186218626"/>
      <w:bookmarkStart w:id="76" w:name="_Toc32180"/>
      <w:bookmarkStart w:id="77" w:name="_Toc186218694"/>
      <w:r>
        <w:rPr>
          <w:rFonts w:hint="eastAsia"/>
        </w:rPr>
        <w:t>基本原则</w:t>
      </w:r>
      <w:bookmarkEnd w:id="74"/>
      <w:bookmarkEnd w:id="75"/>
      <w:bookmarkEnd w:id="76"/>
      <w:bookmarkEnd w:id="77"/>
    </w:p>
    <w:p w14:paraId="662C9C18">
      <w:pPr>
        <w:pStyle w:val="52"/>
        <w:spacing w:before="156" w:after="156"/>
        <w:outlineLvl w:val="9"/>
      </w:pPr>
      <w:bookmarkStart w:id="78" w:name="_Toc186218627"/>
      <w:r>
        <w:rPr>
          <w:rFonts w:hint="eastAsia"/>
          <w:lang w:val="en-US" w:eastAsia="zh-CN"/>
        </w:rPr>
        <w:t>方案</w:t>
      </w:r>
      <w:r>
        <w:rPr>
          <w:rFonts w:hint="eastAsia"/>
        </w:rPr>
        <w:t>先行。</w:t>
      </w:r>
      <w:r>
        <w:rPr>
          <w:rFonts w:hint="eastAsia" w:ascii="宋体" w:eastAsia="宋体"/>
          <w:shd w:val="solid" w:color="FFFFFF" w:fill="FFFFFF"/>
        </w:rPr>
        <w:t>按照县（市、区）“污废水零直排区”建设</w:t>
      </w:r>
      <w:r>
        <w:rPr>
          <w:rFonts w:hint="eastAsia" w:ascii="宋体" w:eastAsia="宋体"/>
          <w:shd w:val="solid" w:color="FFFFFF" w:fill="FFFFFF"/>
          <w:lang w:val="en-US" w:eastAsia="zh-CN"/>
        </w:rPr>
        <w:t>方案</w:t>
      </w:r>
      <w:r>
        <w:rPr>
          <w:rFonts w:hint="eastAsia" w:ascii="宋体" w:eastAsia="宋体"/>
          <w:shd w:val="solid" w:color="FFFFFF" w:fill="FFFFFF"/>
        </w:rPr>
        <w:t>以及相关</w:t>
      </w:r>
      <w:r>
        <w:rPr>
          <w:rFonts w:hint="eastAsia" w:ascii="宋体" w:eastAsia="宋体"/>
          <w:shd w:val="solid" w:color="FFFFFF" w:fill="FFFFFF"/>
          <w:lang w:val="en-US" w:eastAsia="zh-CN"/>
        </w:rPr>
        <w:t>方案编制</w:t>
      </w:r>
      <w:r>
        <w:rPr>
          <w:rFonts w:hint="eastAsia" w:ascii="宋体" w:eastAsia="宋体"/>
          <w:shd w:val="solid" w:color="FFFFFF" w:fill="FFFFFF"/>
        </w:rPr>
        <w:t>要求，统筹推进城市、乡镇“污废水零直排区”建设内容。</w:t>
      </w:r>
      <w:bookmarkEnd w:id="78"/>
    </w:p>
    <w:p w14:paraId="2414DCB5">
      <w:pPr>
        <w:pStyle w:val="52"/>
        <w:spacing w:before="156" w:after="156"/>
        <w:outlineLvl w:val="9"/>
        <w:rPr>
          <w:rFonts w:hint="eastAsia" w:ascii="宋体" w:eastAsia="宋体"/>
          <w:shd w:val="solid" w:color="FFFFFF" w:fill="FFFFFF"/>
        </w:rPr>
      </w:pPr>
      <w:bookmarkStart w:id="79" w:name="_Toc186218628"/>
      <w:r>
        <w:rPr>
          <w:rFonts w:hint="eastAsia"/>
        </w:rPr>
        <w:t>因地制宜。</w:t>
      </w:r>
      <w:r>
        <w:rPr>
          <w:rFonts w:hint="eastAsia" w:ascii="宋体" w:eastAsia="宋体"/>
          <w:shd w:val="solid" w:color="FFFFFF" w:fill="FFFFFF"/>
        </w:rPr>
        <w:t>根据不同地形地貌特征、经济社会发展水</w:t>
      </w:r>
      <w:bookmarkStart w:id="202" w:name="_GoBack"/>
      <w:bookmarkEnd w:id="202"/>
      <w:r>
        <w:rPr>
          <w:rFonts w:hint="eastAsia" w:ascii="宋体" w:eastAsia="宋体"/>
          <w:shd w:val="solid" w:color="FFFFFF" w:fill="FFFFFF"/>
        </w:rPr>
        <w:t>平、区域功能定位等，采取相应的建设方式和工程措施。</w:t>
      </w:r>
      <w:bookmarkEnd w:id="79"/>
    </w:p>
    <w:p w14:paraId="56115FB1">
      <w:pPr>
        <w:pStyle w:val="52"/>
        <w:spacing w:before="156" w:after="156"/>
        <w:outlineLvl w:val="9"/>
      </w:pPr>
      <w:bookmarkStart w:id="80" w:name="_Toc186218629"/>
      <w:r>
        <w:rPr>
          <w:rFonts w:hint="eastAsia"/>
        </w:rPr>
        <w:t>质量优先。</w:t>
      </w:r>
      <w:r>
        <w:rPr>
          <w:rFonts w:hint="eastAsia" w:ascii="宋体" w:eastAsia="宋体"/>
          <w:shd w:val="solid" w:color="FFFFFF" w:fill="FFFFFF"/>
        </w:rPr>
        <w:t>合理安排建设时序，进度服从质量，加强排查质量、材料质量、施工质量和验收质量等把关，确保建设成效。</w:t>
      </w:r>
      <w:bookmarkEnd w:id="80"/>
    </w:p>
    <w:p w14:paraId="2F6F748D">
      <w:pPr>
        <w:pStyle w:val="52"/>
        <w:spacing w:before="156" w:after="156"/>
        <w:outlineLvl w:val="9"/>
        <w:rPr>
          <w:rFonts w:hint="eastAsia" w:ascii="宋体" w:eastAsia="宋体"/>
          <w:shd w:val="solid" w:color="FFFFFF" w:fill="FFFFFF"/>
        </w:rPr>
      </w:pPr>
      <w:bookmarkStart w:id="81" w:name="_Toc186218630"/>
      <w:r>
        <w:rPr>
          <w:rFonts w:hint="eastAsia"/>
        </w:rPr>
        <w:t>全域覆盖。</w:t>
      </w:r>
      <w:r>
        <w:rPr>
          <w:rFonts w:hint="eastAsia" w:ascii="宋体" w:eastAsia="宋体"/>
          <w:shd w:val="solid" w:color="FFFFFF" w:fill="FFFFFF"/>
        </w:rPr>
        <w:t>规划区域范围内应成片、连片推进“污废水零直排区”建设工作，实现建设区域全覆盖。</w:t>
      </w:r>
      <w:bookmarkEnd w:id="81"/>
    </w:p>
    <w:p w14:paraId="58B2C78C">
      <w:pPr>
        <w:pStyle w:val="52"/>
        <w:spacing w:before="156" w:after="156"/>
        <w:outlineLvl w:val="9"/>
        <w:rPr>
          <w:rFonts w:hint="eastAsia" w:ascii="宋体" w:eastAsia="宋体"/>
          <w:shd w:val="solid" w:color="FFFFFF" w:fill="FFFFFF"/>
        </w:rPr>
      </w:pPr>
      <w:bookmarkStart w:id="82" w:name="_Toc186218631"/>
      <w:r>
        <w:rPr>
          <w:rFonts w:hint="eastAsia"/>
        </w:rPr>
        <w:t>协调配合。</w:t>
      </w:r>
      <w:r>
        <w:rPr>
          <w:rFonts w:hint="eastAsia" w:ascii="宋体" w:eastAsia="宋体"/>
          <w:shd w:val="solid" w:color="FFFFFF" w:fill="FFFFFF"/>
        </w:rPr>
        <w:t>明确分工，加强协作，共享信息，相互配合，综合施策，形成合力。</w:t>
      </w:r>
      <w:bookmarkEnd w:id="82"/>
    </w:p>
    <w:p w14:paraId="4D1D70DA">
      <w:pPr>
        <w:pStyle w:val="52"/>
        <w:spacing w:before="156" w:after="156"/>
        <w:outlineLvl w:val="9"/>
        <w:rPr>
          <w:rFonts w:hint="eastAsia" w:ascii="宋体" w:eastAsia="宋体"/>
          <w:shd w:val="solid" w:color="FFFFFF" w:fill="FFFFFF"/>
        </w:rPr>
      </w:pPr>
      <w:bookmarkStart w:id="83" w:name="_Toc186218632"/>
      <w:r>
        <w:rPr>
          <w:rFonts w:hint="eastAsia"/>
        </w:rPr>
        <w:t>持续提升。</w:t>
      </w:r>
      <w:r>
        <w:rPr>
          <w:rFonts w:hint="eastAsia" w:ascii="宋体" w:eastAsia="宋体"/>
          <w:shd w:val="solid" w:color="FFFFFF" w:fill="FFFFFF"/>
        </w:rPr>
        <w:t>建设完成后应强化运行维护管理，落实各方主体责任，健全运行维护机制，确保建设成效持续发挥作用。</w:t>
      </w:r>
      <w:bookmarkEnd w:id="83"/>
    </w:p>
    <w:p w14:paraId="3C0DA715">
      <w:pPr>
        <w:pStyle w:val="90"/>
        <w:spacing w:before="156" w:after="156"/>
      </w:pPr>
      <w:bookmarkStart w:id="84" w:name="_Toc12315"/>
      <w:bookmarkStart w:id="85" w:name="_Toc9926"/>
      <w:bookmarkStart w:id="86" w:name="_Toc186218695"/>
      <w:bookmarkStart w:id="87" w:name="_Toc186218633"/>
      <w:r>
        <w:rPr>
          <w:rFonts w:hint="eastAsia"/>
        </w:rPr>
        <w:t>一般规定</w:t>
      </w:r>
      <w:bookmarkEnd w:id="84"/>
      <w:bookmarkEnd w:id="85"/>
      <w:bookmarkEnd w:id="86"/>
      <w:bookmarkEnd w:id="87"/>
    </w:p>
    <w:p w14:paraId="58D62EDE">
      <w:pPr>
        <w:pStyle w:val="150"/>
      </w:pPr>
      <w:r>
        <w:rPr>
          <w:rFonts w:hint="eastAsia"/>
        </w:rPr>
        <w:t>采用雨污分流制排水系统；直排式合流制管网应开展雨污分流改造。</w:t>
      </w:r>
    </w:p>
    <w:p w14:paraId="1A9E1A49">
      <w:pPr>
        <w:pStyle w:val="150"/>
      </w:pPr>
      <w:r>
        <w:rPr>
          <w:rFonts w:hint="eastAsia"/>
        </w:rPr>
        <w:t>污废水不应进入雨水排水系统。雨水集水井设置“禁止倾倒垃圾、污废水”等标识。</w:t>
      </w:r>
    </w:p>
    <w:p w14:paraId="05BA7EBA">
      <w:pPr>
        <w:pStyle w:val="150"/>
      </w:pPr>
      <w:r>
        <w:rPr>
          <w:rFonts w:hint="eastAsia"/>
        </w:rPr>
        <w:t>雨水回收利用系统应符合GB 50400 有关规定；回收利用管道上应采取防止误接、误用、误饮的标识措施。</w:t>
      </w:r>
    </w:p>
    <w:p w14:paraId="2121B82A">
      <w:pPr>
        <w:pStyle w:val="150"/>
      </w:pPr>
      <w:r>
        <w:rPr>
          <w:rFonts w:hint="eastAsia"/>
        </w:rPr>
        <w:t>开展雨水调蓄、海绵城市建设的，符合GB 51174 和GB/T 51345 有关规定。</w:t>
      </w:r>
    </w:p>
    <w:p w14:paraId="47E054B1">
      <w:pPr>
        <w:pStyle w:val="150"/>
      </w:pPr>
      <w:r>
        <w:rPr>
          <w:rFonts w:hint="eastAsia"/>
        </w:rPr>
        <w:t>工业企业初期弃流雨水存在污染时，应收集处理后达标排放。</w:t>
      </w:r>
    </w:p>
    <w:p w14:paraId="58710843">
      <w:pPr>
        <w:pStyle w:val="150"/>
      </w:pPr>
      <w:r>
        <w:rPr>
          <w:rFonts w:hint="eastAsia"/>
        </w:rPr>
        <w:t>工业污废水采用分流制，分质收集处理。包括但不限于：</w:t>
      </w:r>
    </w:p>
    <w:p w14:paraId="25E68949">
      <w:pPr>
        <w:pStyle w:val="43"/>
        <w:ind w:firstLine="420"/>
      </w:pPr>
      <w:r>
        <w:rPr>
          <w:rFonts w:hint="eastAsia"/>
        </w:rPr>
        <w:t>——含氰废水不应与酸性废水混合，含氰废水调节池应加盖加锁；</w:t>
      </w:r>
    </w:p>
    <w:p w14:paraId="16EF0C6E">
      <w:pPr>
        <w:pStyle w:val="43"/>
        <w:ind w:firstLine="420"/>
      </w:pPr>
      <w:r>
        <w:rPr>
          <w:rFonts w:hint="eastAsia"/>
        </w:rPr>
        <w:t>——含第一类污染物的污废水应单独收集和预处理；</w:t>
      </w:r>
    </w:p>
    <w:p w14:paraId="402D864D">
      <w:pPr>
        <w:pStyle w:val="43"/>
        <w:ind w:firstLine="420"/>
      </w:pPr>
      <w:r>
        <w:rPr>
          <w:rFonts w:hint="eastAsia"/>
        </w:rPr>
        <w:t>——含高浓度有机物、高盐、高热、难降解等的污废水单独收集和预处理；</w:t>
      </w:r>
    </w:p>
    <w:p w14:paraId="518187B4">
      <w:pPr>
        <w:pStyle w:val="43"/>
        <w:ind w:firstLine="420"/>
      </w:pPr>
      <w:r>
        <w:rPr>
          <w:rFonts w:hint="eastAsia"/>
        </w:rPr>
        <w:t>——含生物活性成分的污废水应灭活处理；</w:t>
      </w:r>
    </w:p>
    <w:p w14:paraId="0FC8ECE4">
      <w:pPr>
        <w:pStyle w:val="43"/>
        <w:ind w:firstLine="420"/>
      </w:pPr>
      <w:r>
        <w:rPr>
          <w:rFonts w:hint="eastAsia"/>
        </w:rPr>
        <w:t>——化学工业管道设计应符合GB 50873 有关规定。</w:t>
      </w:r>
    </w:p>
    <w:p w14:paraId="61030BB9">
      <w:pPr>
        <w:pStyle w:val="150"/>
      </w:pPr>
      <w:r>
        <w:rPr>
          <w:rFonts w:hint="eastAsia"/>
        </w:rPr>
        <w:t>工业企业或工业园区向城镇排水设施排放污废水时，应符合GB 8978、GB/T 31962、相关行业标准等有关规定。</w:t>
      </w:r>
    </w:p>
    <w:p w14:paraId="0AC48523">
      <w:pPr>
        <w:pStyle w:val="150"/>
      </w:pPr>
      <w:r>
        <w:rPr>
          <w:rFonts w:hint="eastAsia"/>
        </w:rPr>
        <w:t>生活小区类和其他类中污废水排入城镇排水设施时，应符合GB/T 31962 和相关行业标准等有关规定；直接排入环境水体时应符合相关国家、行业或地方排放标准要求。其中：</w:t>
      </w:r>
    </w:p>
    <w:p w14:paraId="0538EDAA">
      <w:pPr>
        <w:pStyle w:val="43"/>
        <w:ind w:firstLine="420"/>
      </w:pPr>
      <w:r>
        <w:rPr>
          <w:rFonts w:hint="eastAsia"/>
        </w:rPr>
        <w:t>——医疗机构应符合GB 18466 有关规定；</w:t>
      </w:r>
    </w:p>
    <w:p w14:paraId="2F165133">
      <w:pPr>
        <w:pStyle w:val="43"/>
        <w:ind w:firstLine="420"/>
      </w:pPr>
      <w:r>
        <w:rPr>
          <w:rFonts w:hint="eastAsia"/>
        </w:rPr>
        <w:t>——汽车维修应符合GB 26877 有关规定。</w:t>
      </w:r>
    </w:p>
    <w:p w14:paraId="0110607D">
      <w:pPr>
        <w:pStyle w:val="150"/>
      </w:pPr>
      <w:r>
        <w:rPr>
          <w:rFonts w:hint="eastAsia"/>
        </w:rPr>
        <w:t>污废水排放口符合GB 15562.1 有关规定。</w:t>
      </w:r>
    </w:p>
    <w:p w14:paraId="7DBC93C3">
      <w:pPr>
        <w:pStyle w:val="150"/>
      </w:pPr>
      <w:r>
        <w:rPr>
          <w:rFonts w:hint="eastAsia"/>
        </w:rPr>
        <w:t>生活小区类和其他类中隔油池、降温池、化粪池、沉淀池、放射性废水衰变池、接触消毒池等预处理设施应满足预处理需求。其中：</w:t>
      </w:r>
    </w:p>
    <w:p w14:paraId="5263F21F">
      <w:pPr>
        <w:pStyle w:val="43"/>
        <w:ind w:firstLine="420"/>
      </w:pPr>
      <w:r>
        <w:rPr>
          <w:rFonts w:hint="eastAsia" w:cs="宋体"/>
        </w:rPr>
        <w:t>——</w:t>
      </w:r>
      <w:r>
        <w:rPr>
          <w:rFonts w:hint="eastAsia"/>
        </w:rPr>
        <w:t>隔油池、降温池、化粪池、沉淀池应符合GB 50014 和GB 50015 有关规定；</w:t>
      </w:r>
    </w:p>
    <w:p w14:paraId="6F2D0C6D">
      <w:pPr>
        <w:pStyle w:val="43"/>
        <w:ind w:firstLine="420"/>
      </w:pPr>
      <w:r>
        <w:rPr>
          <w:rFonts w:hint="eastAsia"/>
        </w:rPr>
        <w:t>——放射性废水衰变池、接触消毒池应符合</w:t>
      </w:r>
      <w:r>
        <w:t xml:space="preserve">GB 18466 </w:t>
      </w:r>
      <w:r>
        <w:rPr>
          <w:rFonts w:hint="eastAsia"/>
        </w:rPr>
        <w:t>有关规定。</w:t>
      </w:r>
    </w:p>
    <w:p w14:paraId="7BB75DF5">
      <w:pPr>
        <w:pStyle w:val="150"/>
      </w:pPr>
      <w:r>
        <w:rPr>
          <w:rFonts w:hint="eastAsia"/>
        </w:rPr>
        <w:t>未经处理的建设工地泥浆水严禁直接排入城镇排水设施。</w:t>
      </w:r>
    </w:p>
    <w:p w14:paraId="59BCD57A">
      <w:pPr>
        <w:pStyle w:val="150"/>
      </w:pPr>
      <w:r>
        <w:rPr>
          <w:rFonts w:hint="eastAsia"/>
        </w:rPr>
        <w:t>排水管道应能及时顺畅的排走污废水和雨水。</w:t>
      </w:r>
    </w:p>
    <w:p w14:paraId="009F46AF">
      <w:pPr>
        <w:pStyle w:val="150"/>
      </w:pPr>
      <w:r>
        <w:rPr>
          <w:rFonts w:hint="eastAsia"/>
        </w:rPr>
        <w:t>排水管道的材质应根据输送介质、压力、环境、气候、水温、土壤和敷设方式等要求综合确定。</w:t>
      </w:r>
    </w:p>
    <w:p w14:paraId="36054F38">
      <w:pPr>
        <w:pStyle w:val="150"/>
      </w:pPr>
      <w:r>
        <w:rPr>
          <w:rFonts w:hint="eastAsia"/>
        </w:rPr>
        <w:t>管道敷设应符合GB 50014、GB 50015、GB 50268、GB 50242、GB 50235、GB 50316 和GB 50726等相关规范。</w:t>
      </w:r>
    </w:p>
    <w:p w14:paraId="4DF292D5">
      <w:pPr>
        <w:pStyle w:val="150"/>
      </w:pPr>
      <w:r>
        <w:rPr>
          <w:rFonts w:hint="eastAsia"/>
        </w:rPr>
        <w:t>架空管道应有标识和着色，符合GB 7231 要求；城镇污水处理厂、工业废水集中处理厂的管道着色符合CJ/T 158 有关规定。</w:t>
      </w:r>
    </w:p>
    <w:p w14:paraId="7C1D633D">
      <w:pPr>
        <w:pStyle w:val="150"/>
      </w:pPr>
      <w:r>
        <w:rPr>
          <w:rFonts w:hint="eastAsia"/>
        </w:rPr>
        <w:t>清扫井、检查口、检查井的设置位置和数量应满足检维修要求，符合GB 50014 和GB 50015等有关规定。</w:t>
      </w:r>
    </w:p>
    <w:p w14:paraId="711DE1ED">
      <w:pPr>
        <w:pStyle w:val="150"/>
      </w:pPr>
      <w:r>
        <w:rPr>
          <w:rFonts w:hint="eastAsia"/>
        </w:rPr>
        <w:t>城镇排水管道、泵站的运行维护、检测与评估及修复等应符合CJJ 68、CJJ 181、CJJ 6、GB 50268和CJJ/T 210 等有关规定。</w:t>
      </w:r>
    </w:p>
    <w:p w14:paraId="2A7D17DE">
      <w:pPr>
        <w:pStyle w:val="150"/>
      </w:pPr>
      <w:r>
        <w:rPr>
          <w:rFonts w:hint="eastAsia"/>
        </w:rPr>
        <w:t>城镇污水处理厂向环境水体排放时应符合GB 18918 和DB34/ 2710 等要求；工业废水集中处理厂向环境水体排放时应符合相关国家、行业标准以及排污许可证载明的许可排放浓度。</w:t>
      </w:r>
    </w:p>
    <w:p w14:paraId="306EE8C1">
      <w:pPr>
        <w:pStyle w:val="150"/>
      </w:pPr>
      <w:r>
        <w:rPr>
          <w:rFonts w:hint="eastAsia"/>
        </w:rPr>
        <w:t>城镇污水处理厂运行、维护、监督管理等应符合CJJ 60、HJ 2038、DB34/T 5055 等规范要求，工业废水集中处理厂可参照执行。</w:t>
      </w:r>
    </w:p>
    <w:p w14:paraId="53782AD3">
      <w:pPr>
        <w:pStyle w:val="150"/>
      </w:pPr>
      <w:r>
        <w:rPr>
          <w:rFonts w:hint="eastAsia"/>
        </w:rPr>
        <w:t>入河排污口应满足HJ 1308以及相关标准等有关规定。</w:t>
      </w:r>
    </w:p>
    <w:p w14:paraId="56A14C3F">
      <w:pPr>
        <w:pStyle w:val="89"/>
        <w:spacing w:before="312" w:after="312"/>
      </w:pPr>
      <w:bookmarkStart w:id="88" w:name="_Toc186218696"/>
      <w:bookmarkStart w:id="89" w:name="_Toc32265"/>
      <w:bookmarkStart w:id="90" w:name="_Toc23342"/>
      <w:bookmarkStart w:id="91" w:name="_Toc21539"/>
      <w:bookmarkStart w:id="92" w:name="_Toc186218634"/>
      <w:r>
        <w:rPr>
          <w:rFonts w:hint="eastAsia"/>
        </w:rPr>
        <w:t>建设内容和工作流程</w:t>
      </w:r>
      <w:bookmarkEnd w:id="88"/>
      <w:bookmarkEnd w:id="89"/>
      <w:bookmarkEnd w:id="90"/>
      <w:bookmarkEnd w:id="91"/>
      <w:bookmarkEnd w:id="92"/>
    </w:p>
    <w:p w14:paraId="3FEF8866">
      <w:pPr>
        <w:pStyle w:val="90"/>
        <w:spacing w:before="156" w:after="156"/>
      </w:pPr>
      <w:bookmarkStart w:id="93" w:name="_Toc23762"/>
      <w:bookmarkStart w:id="94" w:name="_Toc186218697"/>
      <w:bookmarkStart w:id="95" w:name="_Toc186218635"/>
      <w:bookmarkStart w:id="96" w:name="_Toc9058"/>
      <w:r>
        <w:rPr>
          <w:rFonts w:hint="eastAsia"/>
        </w:rPr>
        <w:t>建设内容</w:t>
      </w:r>
      <w:bookmarkEnd w:id="93"/>
      <w:bookmarkEnd w:id="94"/>
      <w:bookmarkEnd w:id="95"/>
      <w:bookmarkEnd w:id="96"/>
    </w:p>
    <w:p w14:paraId="379E75CB">
      <w:pPr>
        <w:pStyle w:val="150"/>
      </w:pPr>
      <w:r>
        <w:rPr>
          <w:rFonts w:hint="eastAsia"/>
        </w:rPr>
        <w:t>以“源—网—厂—口”为有机整体，系统全面的推进全域“污废水零直排区”排查、设计与施工、评估验收和运行维护工作。</w:t>
      </w:r>
    </w:p>
    <w:p w14:paraId="1CAA8C24">
      <w:pPr>
        <w:pStyle w:val="150"/>
      </w:pPr>
      <w:r>
        <w:rPr>
          <w:rFonts w:hint="eastAsia"/>
        </w:rPr>
        <w:t>源，为污废水的产生源，包括但不限于排水户和生活小区。涵盖用地红线范围内相关预处理设施、内部排水管网等。解决包括但不限于以下问题：</w:t>
      </w:r>
    </w:p>
    <w:p w14:paraId="7F86546D">
      <w:pPr>
        <w:pStyle w:val="43"/>
        <w:ind w:firstLine="420"/>
      </w:pPr>
      <w:r>
        <w:rPr>
          <w:rFonts w:hint="eastAsia"/>
        </w:rPr>
        <w:t>——雨污分流、清污分流、污污分流问题；</w:t>
      </w:r>
    </w:p>
    <w:p w14:paraId="0B03C2F6">
      <w:pPr>
        <w:pStyle w:val="43"/>
        <w:ind w:firstLine="420"/>
      </w:pPr>
      <w:r>
        <w:rPr>
          <w:rFonts w:hint="eastAsia"/>
        </w:rPr>
        <w:t>——内部管网错接、漏接、混接等问题；</w:t>
      </w:r>
    </w:p>
    <w:p w14:paraId="2674CD6F">
      <w:pPr>
        <w:pStyle w:val="43"/>
        <w:ind w:firstLine="420"/>
      </w:pPr>
      <w:r>
        <w:rPr>
          <w:rFonts w:hint="eastAsia"/>
        </w:rPr>
        <w:t>——预处理设施配套情况、匹配性和规范性等问题；</w:t>
      </w:r>
    </w:p>
    <w:p w14:paraId="61A57960">
      <w:pPr>
        <w:pStyle w:val="43"/>
        <w:ind w:firstLine="420"/>
      </w:pPr>
      <w:r>
        <w:rPr>
          <w:rFonts w:hint="eastAsia"/>
        </w:rPr>
        <w:t>——排放口、检查井等规范性问题；</w:t>
      </w:r>
    </w:p>
    <w:p w14:paraId="527C1471">
      <w:pPr>
        <w:pStyle w:val="43"/>
        <w:ind w:firstLine="420"/>
      </w:pPr>
      <w:r>
        <w:rPr>
          <w:rFonts w:hint="eastAsia"/>
        </w:rPr>
        <w:t>——管道走向、排放口等标识标牌问题。</w:t>
      </w:r>
    </w:p>
    <w:p w14:paraId="16643A99">
      <w:pPr>
        <w:pStyle w:val="150"/>
      </w:pPr>
      <w:r>
        <w:rPr>
          <w:rFonts w:hint="eastAsia"/>
        </w:rPr>
        <w:t>网，为污废水、雨水等收集和输送载体，即排水设施，包括排水管网及附属设施、泵站等。解决包括但不限于以下问题：</w:t>
      </w:r>
    </w:p>
    <w:p w14:paraId="34C2F444">
      <w:pPr>
        <w:pStyle w:val="43"/>
        <w:ind w:firstLine="420"/>
      </w:pPr>
      <w:r>
        <w:rPr>
          <w:rFonts w:hint="eastAsia"/>
        </w:rPr>
        <w:t>——厘清管网布置和走向，明确管网普及率，测算排水管道密度；</w:t>
      </w:r>
    </w:p>
    <w:p w14:paraId="3A91B870">
      <w:pPr>
        <w:pStyle w:val="43"/>
        <w:ind w:firstLine="420"/>
      </w:pPr>
      <w:r>
        <w:rPr>
          <w:rFonts w:hint="eastAsia"/>
        </w:rPr>
        <w:t>——查清排水管网结构性缺陷、功能性缺陷，明确修复指数和养护指数，推进修复和养护工作；</w:t>
      </w:r>
    </w:p>
    <w:p w14:paraId="1251BF54">
      <w:pPr>
        <w:pStyle w:val="43"/>
        <w:ind w:firstLine="420"/>
      </w:pPr>
      <w:r>
        <w:rPr>
          <w:rFonts w:hint="eastAsia"/>
        </w:rPr>
        <w:t>——泵站输送能力匹配性，运行状况、检维修情况等。</w:t>
      </w:r>
    </w:p>
    <w:p w14:paraId="6F2CF287">
      <w:pPr>
        <w:pStyle w:val="150"/>
      </w:pPr>
      <w:r>
        <w:rPr>
          <w:rFonts w:hint="eastAsia"/>
        </w:rPr>
        <w:t>厂，为污废水、雨水等处理设施，即城镇污水处理厂</w:t>
      </w:r>
      <w:r>
        <w:rPr>
          <w:rFonts w:hint="eastAsia"/>
          <w:lang w:eastAsia="zh-CN"/>
        </w:rPr>
        <w:t>（</w:t>
      </w:r>
      <w:r>
        <w:rPr>
          <w:rFonts w:hint="eastAsia"/>
          <w:lang w:val="en-US" w:eastAsia="zh-CN"/>
        </w:rPr>
        <w:t>站</w:t>
      </w:r>
      <w:r>
        <w:rPr>
          <w:rFonts w:hint="eastAsia"/>
          <w:lang w:eastAsia="zh-CN"/>
        </w:rPr>
        <w:t>）</w:t>
      </w:r>
      <w:r>
        <w:rPr>
          <w:rFonts w:hint="eastAsia"/>
        </w:rPr>
        <w:t>、工业废水集中处理厂</w:t>
      </w:r>
      <w:r>
        <w:rPr>
          <w:rFonts w:hint="eastAsia"/>
          <w:lang w:eastAsia="zh-CN"/>
        </w:rPr>
        <w:t>（</w:t>
      </w:r>
      <w:r>
        <w:rPr>
          <w:rFonts w:hint="eastAsia"/>
          <w:lang w:val="en-US" w:eastAsia="zh-CN"/>
        </w:rPr>
        <w:t>站</w:t>
      </w:r>
      <w:r>
        <w:rPr>
          <w:rFonts w:hint="eastAsia"/>
          <w:lang w:eastAsia="zh-CN"/>
        </w:rPr>
        <w:t>）</w:t>
      </w:r>
      <w:r>
        <w:rPr>
          <w:rFonts w:hint="eastAsia"/>
        </w:rPr>
        <w:t>等。解决包括但不限于以下问题：</w:t>
      </w:r>
    </w:p>
    <w:p w14:paraId="506B0EDE">
      <w:pPr>
        <w:pStyle w:val="43"/>
        <w:ind w:firstLine="420"/>
      </w:pPr>
      <w:r>
        <w:rPr>
          <w:rFonts w:hint="eastAsia"/>
        </w:rPr>
        <w:t>——负荷情况，是否满足现行和完成“污</w:t>
      </w:r>
      <w:r>
        <w:rPr>
          <w:rFonts w:hint="eastAsia"/>
          <w:shd w:val="solid" w:color="FFFFFF" w:fill="FFFFFF"/>
        </w:rPr>
        <w:t>废</w:t>
      </w:r>
      <w:r>
        <w:rPr>
          <w:rFonts w:hint="eastAsia"/>
        </w:rPr>
        <w:t>水零直排区”建设后的需求；</w:t>
      </w:r>
    </w:p>
    <w:p w14:paraId="35C475CC">
      <w:pPr>
        <w:pStyle w:val="43"/>
        <w:ind w:firstLine="420"/>
      </w:pPr>
      <w:r>
        <w:rPr>
          <w:rFonts w:hint="eastAsia"/>
        </w:rPr>
        <w:t>——运行情况，进水水质、水量稳定性以及日常运行维护管理；</w:t>
      </w:r>
    </w:p>
    <w:p w14:paraId="322E92CC">
      <w:pPr>
        <w:pStyle w:val="43"/>
        <w:ind w:firstLine="420"/>
      </w:pPr>
      <w:r>
        <w:rPr>
          <w:rFonts w:hint="eastAsia"/>
        </w:rPr>
        <w:t>——达标情况，是否存在超标。</w:t>
      </w:r>
    </w:p>
    <w:p w14:paraId="294E0E74">
      <w:pPr>
        <w:pStyle w:val="150"/>
      </w:pPr>
      <w:r>
        <w:rPr>
          <w:rFonts w:hint="eastAsia"/>
        </w:rPr>
        <w:t>口，为入河排污口。解决包括但不限于以下问题：</w:t>
      </w:r>
    </w:p>
    <w:p w14:paraId="48BBBA5D">
      <w:pPr>
        <w:pStyle w:val="43"/>
        <w:ind w:firstLine="420"/>
      </w:pPr>
      <w:r>
        <w:rPr>
          <w:rFonts w:hint="eastAsia"/>
        </w:rPr>
        <w:t>——明确类型</w:t>
      </w:r>
      <w:r>
        <w:rPr>
          <w:rFonts w:hint="eastAsia"/>
          <w:lang w:val="en-US" w:eastAsia="zh-CN"/>
        </w:rPr>
        <w:t>及责任主体</w:t>
      </w:r>
      <w:r>
        <w:rPr>
          <w:rFonts w:hint="eastAsia"/>
        </w:rPr>
        <w:t>；</w:t>
      </w:r>
    </w:p>
    <w:p w14:paraId="41E99F7B">
      <w:pPr>
        <w:pStyle w:val="43"/>
        <w:ind w:firstLine="420"/>
        <w:rPr>
          <w:rFonts w:hint="eastAsia"/>
        </w:rPr>
      </w:pPr>
      <w:r>
        <w:rPr>
          <w:rFonts w:hint="eastAsia"/>
        </w:rPr>
        <w:t>——审批备案情况；</w:t>
      </w:r>
    </w:p>
    <w:p w14:paraId="5F7D063B">
      <w:pPr>
        <w:pStyle w:val="43"/>
        <w:ind w:firstLine="420"/>
      </w:pPr>
      <w:r>
        <w:rPr>
          <w:rFonts w:hint="eastAsia"/>
        </w:rPr>
        <w:t>——标识标牌情况；</w:t>
      </w:r>
    </w:p>
    <w:p w14:paraId="3FD8ABF6">
      <w:pPr>
        <w:pStyle w:val="43"/>
        <w:ind w:firstLine="420"/>
      </w:pPr>
      <w:r>
        <w:rPr>
          <w:rFonts w:hint="eastAsia"/>
        </w:rPr>
        <w:t>——建设范围内的数量和点位分布。</w:t>
      </w:r>
    </w:p>
    <w:p w14:paraId="2488210E">
      <w:pPr>
        <w:pStyle w:val="90"/>
        <w:spacing w:before="156" w:after="156"/>
      </w:pPr>
      <w:bookmarkStart w:id="97" w:name="_Toc186218636"/>
      <w:bookmarkStart w:id="98" w:name="_Toc12866"/>
      <w:bookmarkStart w:id="99" w:name="_Toc12631"/>
      <w:bookmarkStart w:id="100" w:name="_Toc186218698"/>
      <w:r>
        <w:rPr>
          <w:rFonts w:hint="eastAsia"/>
        </w:rPr>
        <w:t>工作流程</w:t>
      </w:r>
      <w:bookmarkEnd w:id="97"/>
      <w:bookmarkEnd w:id="98"/>
      <w:bookmarkEnd w:id="99"/>
      <w:bookmarkEnd w:id="100"/>
    </w:p>
    <w:p w14:paraId="0910529C">
      <w:pPr>
        <w:widowControl/>
        <w:jc w:val="left"/>
      </w:pPr>
      <w:r>
        <w:rPr>
          <w:rFonts w:hint="eastAsia"/>
        </w:rPr>
        <w:t>“污废水零直排区”建设工作流程示意图见图1。</w:t>
      </w:r>
    </w:p>
    <w:p w14:paraId="5B87AA07">
      <w:pPr>
        <w:keepNext w:val="0"/>
        <w:keepLines w:val="0"/>
        <w:widowControl/>
        <w:suppressLineNumbers w:val="0"/>
        <w:jc w:val="left"/>
      </w:pPr>
      <w:r>
        <w:rPr>
          <w:rFonts w:ascii="宋体" w:hAnsi="宋体" w:eastAsia="宋体" w:cs="宋体"/>
          <w:kern w:val="0"/>
          <w:sz w:val="24"/>
          <w:szCs w:val="24"/>
          <w:lang w:val="en-US" w:eastAsia="zh-CN" w:bidi="ar"/>
        </w:rPr>
        <w:drawing>
          <wp:anchor distT="0" distB="0" distL="114300" distR="114300" simplePos="0" relativeHeight="251661312" behindDoc="0" locked="0" layoutInCell="1" allowOverlap="1">
            <wp:simplePos x="0" y="0"/>
            <wp:positionH relativeFrom="column">
              <wp:posOffset>1047115</wp:posOffset>
            </wp:positionH>
            <wp:positionV relativeFrom="paragraph">
              <wp:posOffset>124460</wp:posOffset>
            </wp:positionV>
            <wp:extent cx="3275965" cy="2415540"/>
            <wp:effectExtent l="0" t="0" r="635" b="10160"/>
            <wp:wrapTopAndBottom/>
            <wp:docPr id="1"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descr="IMG_256"/>
                    <pic:cNvPicPr>
                      <a:picLocks noChangeAspect="1"/>
                    </pic:cNvPicPr>
                  </pic:nvPicPr>
                  <pic:blipFill>
                    <a:blip r:embed="rId25"/>
                    <a:stretch>
                      <a:fillRect/>
                    </a:stretch>
                  </pic:blipFill>
                  <pic:spPr>
                    <a:xfrm>
                      <a:off x="0" y="0"/>
                      <a:ext cx="3275965" cy="2415540"/>
                    </a:xfrm>
                    <a:prstGeom prst="rect">
                      <a:avLst/>
                    </a:prstGeom>
                    <a:noFill/>
                    <a:ln>
                      <a:noFill/>
                    </a:ln>
                  </pic:spPr>
                </pic:pic>
              </a:graphicData>
            </a:graphic>
          </wp:anchor>
        </w:drawing>
      </w:r>
    </w:p>
    <w:p w14:paraId="722DDBA6">
      <w:pPr>
        <w:pStyle w:val="99"/>
        <w:spacing w:before="156" w:after="156"/>
        <w:rPr>
          <w:spacing w:val="-2"/>
        </w:rPr>
      </w:pPr>
      <w:r>
        <w:rPr>
          <w:rFonts w:hint="eastAsia"/>
        </w:rPr>
        <w:t>建设工作流程示意图</w:t>
      </w:r>
    </w:p>
    <w:p w14:paraId="1C1ED708">
      <w:pPr>
        <w:pStyle w:val="89"/>
        <w:spacing w:before="312" w:after="312"/>
      </w:pPr>
      <w:bookmarkStart w:id="101" w:name="_Toc7666"/>
      <w:bookmarkStart w:id="102" w:name="_Toc186218637"/>
      <w:bookmarkStart w:id="103" w:name="_Toc14861"/>
      <w:bookmarkStart w:id="104" w:name="_Toc20305"/>
      <w:bookmarkStart w:id="105" w:name="_Toc186218699"/>
      <w:r>
        <w:rPr>
          <w:rFonts w:hint="eastAsia"/>
        </w:rPr>
        <w:t>方案编制</w:t>
      </w:r>
      <w:bookmarkEnd w:id="101"/>
      <w:bookmarkEnd w:id="102"/>
      <w:bookmarkEnd w:id="103"/>
      <w:bookmarkEnd w:id="104"/>
      <w:bookmarkEnd w:id="105"/>
    </w:p>
    <w:p w14:paraId="00E1F9F4">
      <w:pPr>
        <w:pStyle w:val="90"/>
        <w:spacing w:before="156" w:after="156"/>
        <w:rPr>
          <w:rFonts w:hint="eastAsia" w:ascii="宋体" w:hAnsi="宋体" w:eastAsia="宋体" w:cs="宋体"/>
        </w:rPr>
      </w:pPr>
      <w:bookmarkStart w:id="106" w:name="_Toc186218638"/>
      <w:bookmarkStart w:id="107" w:name="_Toc186218700"/>
      <w:r>
        <w:rPr>
          <w:rFonts w:hint="eastAsia" w:ascii="宋体" w:hAnsi="宋体" w:eastAsia="宋体" w:cs="宋体"/>
        </w:rPr>
        <w:t>以县（市、区）为单位编制建设</w:t>
      </w:r>
      <w:r>
        <w:rPr>
          <w:rFonts w:hint="eastAsia" w:ascii="宋体" w:hAnsi="宋体" w:eastAsia="宋体" w:cs="宋体"/>
          <w:lang w:val="en-US" w:eastAsia="zh-CN"/>
        </w:rPr>
        <w:t>方案</w:t>
      </w:r>
      <w:r>
        <w:rPr>
          <w:rFonts w:hint="eastAsia" w:ascii="宋体" w:hAnsi="宋体" w:eastAsia="宋体" w:cs="宋体"/>
        </w:rPr>
        <w:t>，明确建设范围、工作任务、年度计划、相关“一点一策”实施方案等。</w:t>
      </w:r>
      <w:bookmarkEnd w:id="106"/>
      <w:bookmarkEnd w:id="107"/>
    </w:p>
    <w:p w14:paraId="62AD0337">
      <w:pPr>
        <w:pStyle w:val="89"/>
        <w:spacing w:before="312" w:after="312"/>
      </w:pPr>
      <w:bookmarkStart w:id="108" w:name="_Toc186218639"/>
      <w:bookmarkStart w:id="109" w:name="_Toc11463"/>
      <w:bookmarkStart w:id="110" w:name="_Toc11524"/>
      <w:bookmarkStart w:id="111" w:name="_Toc1224"/>
      <w:bookmarkStart w:id="112" w:name="_Toc186218701"/>
      <w:r>
        <w:rPr>
          <w:rFonts w:hint="eastAsia"/>
        </w:rPr>
        <w:t>排查</w:t>
      </w:r>
      <w:bookmarkEnd w:id="108"/>
      <w:bookmarkEnd w:id="109"/>
      <w:bookmarkEnd w:id="110"/>
      <w:bookmarkEnd w:id="111"/>
      <w:bookmarkEnd w:id="112"/>
    </w:p>
    <w:p w14:paraId="67A10747">
      <w:pPr>
        <w:pStyle w:val="90"/>
        <w:spacing w:before="156" w:after="156"/>
        <w:rPr>
          <w:rFonts w:ascii="宋体" w:hAnsi="宋体" w:eastAsia="宋体" w:cs="宋体"/>
        </w:rPr>
      </w:pPr>
      <w:bookmarkStart w:id="113" w:name="_Toc186218702"/>
      <w:bookmarkStart w:id="114" w:name="_Toc186218640"/>
      <w:r>
        <w:rPr>
          <w:rFonts w:hint="eastAsia" w:ascii="宋体" w:hAnsi="宋体" w:eastAsia="宋体" w:cs="宋体"/>
        </w:rPr>
        <w:t>掌握排水设施的整体状况，摸清排水户排污情况、排水管网健康及完善情况、污水处理设施基本情况、入河排污口排放情况等，找出存在的问题,为城市、乡镇“污废水零直排区”建设明确方向;是城市、乡镇“污废水零直排区”建设的基础性工作，排查的准确性和全面性将直接影响到建设的设计、施工、评估及建设整体成效。</w:t>
      </w:r>
    </w:p>
    <w:p w14:paraId="661E8C32">
      <w:pPr>
        <w:pStyle w:val="90"/>
        <w:spacing w:before="156" w:after="156"/>
        <w:rPr>
          <w:rFonts w:hint="eastAsia" w:ascii="宋体" w:hAnsi="宋体" w:eastAsia="宋体" w:cs="宋体"/>
        </w:rPr>
      </w:pPr>
      <w:r>
        <w:rPr>
          <w:rFonts w:hint="eastAsia" w:ascii="宋体" w:hAnsi="宋体" w:eastAsia="宋体" w:cs="宋体"/>
        </w:rPr>
        <w:t>充分利用已有的基础数据、成果等，如行业主管部门地理信息系统（Geographic Information System）数据信息、工程图纸等；按照“点、线、面、网”相结合的方式，连片、成片开展排查工作。</w:t>
      </w:r>
      <w:bookmarkEnd w:id="113"/>
      <w:bookmarkEnd w:id="114"/>
    </w:p>
    <w:p w14:paraId="524C49A3">
      <w:pPr>
        <w:pStyle w:val="90"/>
        <w:spacing w:before="156" w:after="156"/>
        <w:rPr>
          <w:rFonts w:hint="eastAsia" w:ascii="宋体" w:hAnsi="宋体" w:eastAsia="宋体" w:cs="宋体"/>
        </w:rPr>
      </w:pPr>
      <w:bookmarkStart w:id="115" w:name="_Toc186218641"/>
      <w:bookmarkStart w:id="116" w:name="_Toc186218703"/>
      <w:r>
        <w:rPr>
          <w:rFonts w:hint="eastAsia" w:ascii="宋体" w:hAnsi="宋体" w:eastAsia="宋体" w:cs="宋体"/>
        </w:rPr>
        <w:t>遵循“无遗漏，无盲点”要求，做到应查尽查，确保排查准确、到位、全面。</w:t>
      </w:r>
      <w:bookmarkEnd w:id="115"/>
      <w:bookmarkEnd w:id="116"/>
    </w:p>
    <w:p w14:paraId="38B26D98">
      <w:pPr>
        <w:pStyle w:val="90"/>
        <w:spacing w:before="156" w:after="156"/>
        <w:rPr>
          <w:rFonts w:hint="eastAsia" w:ascii="宋体" w:hAnsi="宋体" w:eastAsia="宋体" w:cs="宋体"/>
        </w:rPr>
      </w:pPr>
      <w:bookmarkStart w:id="117" w:name="_Toc186218642"/>
      <w:bookmarkStart w:id="118" w:name="_Toc186218704"/>
      <w:r>
        <w:rPr>
          <w:rFonts w:hint="eastAsia" w:ascii="宋体" w:hAnsi="宋体" w:eastAsia="宋体" w:cs="宋体"/>
        </w:rPr>
        <w:t>所获得的排查数据应真实、准确；宜建立规范化的数据库存储系统，以便于自查、复查、核查和加以运用。</w:t>
      </w:r>
      <w:bookmarkEnd w:id="117"/>
      <w:bookmarkEnd w:id="118"/>
    </w:p>
    <w:p w14:paraId="344CF726">
      <w:pPr>
        <w:pStyle w:val="90"/>
        <w:spacing w:before="156" w:after="156"/>
        <w:rPr>
          <w:rFonts w:hint="eastAsia" w:ascii="宋体" w:hAnsi="宋体" w:eastAsia="宋体" w:cs="宋体"/>
        </w:rPr>
      </w:pPr>
      <w:bookmarkStart w:id="119" w:name="_Toc186218705"/>
      <w:bookmarkStart w:id="120" w:name="_Toc186218643"/>
      <w:r>
        <w:rPr>
          <w:rFonts w:hint="eastAsia" w:ascii="宋体" w:hAnsi="宋体" w:eastAsia="宋体" w:cs="宋体"/>
        </w:rPr>
        <w:t>以现场踏勘方式为主，如排水户入户调查，城镇污水处理厂、工业废水集中处理厂、入河排污口等现场踏勘调查；管网等隐蔽工程以采用相应技术手段开展，如电视检测（Closed Circuit Television Inspection）、管道潜望镜检测（Pipe Quick View Inspection）、声纳检查、染色检查等。</w:t>
      </w:r>
      <w:bookmarkEnd w:id="119"/>
      <w:bookmarkEnd w:id="120"/>
    </w:p>
    <w:p w14:paraId="2B57D3D2">
      <w:pPr>
        <w:pStyle w:val="90"/>
        <w:spacing w:before="156" w:after="156"/>
        <w:rPr>
          <w:rFonts w:hint="eastAsia" w:ascii="宋体" w:hAnsi="宋体" w:eastAsia="宋体" w:cs="宋体"/>
        </w:rPr>
      </w:pPr>
      <w:bookmarkStart w:id="121" w:name="_Toc186218644"/>
      <w:bookmarkStart w:id="122" w:name="_Toc186218706"/>
      <w:r>
        <w:rPr>
          <w:rFonts w:hint="eastAsia" w:ascii="宋体" w:hAnsi="宋体" w:eastAsia="宋体" w:cs="宋体"/>
        </w:rPr>
        <w:t>排查成果、设计施工、预算造价应保持对应关系，确保“排查、设计、施工建设、评估、运维”环环相扣，形成闭环管理。</w:t>
      </w:r>
      <w:bookmarkEnd w:id="121"/>
      <w:bookmarkEnd w:id="122"/>
    </w:p>
    <w:p w14:paraId="0CF6AEAA">
      <w:pPr>
        <w:pStyle w:val="90"/>
        <w:spacing w:before="156" w:after="156"/>
        <w:rPr>
          <w:rFonts w:hint="eastAsia" w:ascii="宋体" w:hAnsi="宋体" w:eastAsia="宋体" w:cs="宋体"/>
        </w:rPr>
      </w:pPr>
      <w:bookmarkStart w:id="123" w:name="_Toc186218707"/>
      <w:bookmarkStart w:id="124" w:name="_Toc186218645"/>
      <w:r>
        <w:rPr>
          <w:rFonts w:hint="eastAsia" w:ascii="宋体" w:hAnsi="宋体" w:eastAsia="宋体" w:cs="宋体"/>
        </w:rPr>
        <w:t>排查具体要求见DB34/T XXXX.2。</w:t>
      </w:r>
      <w:bookmarkEnd w:id="123"/>
      <w:bookmarkEnd w:id="124"/>
    </w:p>
    <w:p w14:paraId="6A277B7B">
      <w:pPr>
        <w:pStyle w:val="89"/>
        <w:spacing w:before="312" w:after="312"/>
      </w:pPr>
      <w:bookmarkStart w:id="125" w:name="_Toc24518"/>
      <w:bookmarkStart w:id="126" w:name="_Toc186218708"/>
      <w:bookmarkStart w:id="127" w:name="_Toc20210"/>
      <w:bookmarkStart w:id="128" w:name="_Toc186218646"/>
      <w:bookmarkStart w:id="129" w:name="_Toc32630"/>
      <w:r>
        <w:rPr>
          <w:rFonts w:hint="eastAsia"/>
        </w:rPr>
        <w:t>设计与施工</w:t>
      </w:r>
      <w:bookmarkEnd w:id="125"/>
      <w:bookmarkEnd w:id="126"/>
      <w:bookmarkEnd w:id="127"/>
      <w:bookmarkEnd w:id="128"/>
      <w:bookmarkEnd w:id="129"/>
    </w:p>
    <w:p w14:paraId="7E51E457">
      <w:pPr>
        <w:pStyle w:val="90"/>
        <w:spacing w:before="156" w:after="156"/>
        <w:rPr>
          <w:rFonts w:hint="eastAsia" w:ascii="宋体" w:hAnsi="宋体" w:eastAsia="宋体" w:cs="宋体"/>
        </w:rPr>
      </w:pPr>
      <w:bookmarkStart w:id="130" w:name="_Toc186218647"/>
      <w:bookmarkStart w:id="131" w:name="_Toc186218709"/>
      <w:bookmarkStart w:id="132" w:name="_Toc62855973"/>
      <w:r>
        <w:rPr>
          <w:rFonts w:hint="eastAsia" w:ascii="宋体" w:hAnsi="宋体" w:eastAsia="宋体" w:cs="宋体"/>
        </w:rPr>
        <w:t>应与区域污水处理和再生利用、市政建设等相关规划充分衔接，避免重复施工和无效建设。应与发现的问题相匹配，加强清洁生产施工。</w:t>
      </w:r>
      <w:bookmarkEnd w:id="130"/>
      <w:bookmarkEnd w:id="131"/>
    </w:p>
    <w:p w14:paraId="582B59D4">
      <w:pPr>
        <w:pStyle w:val="90"/>
        <w:spacing w:before="156" w:after="156"/>
        <w:rPr>
          <w:rFonts w:hint="eastAsia" w:ascii="宋体" w:hAnsi="宋体" w:eastAsia="宋体" w:cs="宋体"/>
        </w:rPr>
      </w:pPr>
      <w:bookmarkStart w:id="133" w:name="_Toc186218710"/>
      <w:bookmarkStart w:id="134" w:name="_Toc186218648"/>
      <w:r>
        <w:rPr>
          <w:rFonts w:hint="eastAsia" w:ascii="宋体" w:hAnsi="宋体" w:eastAsia="宋体" w:cs="宋体"/>
        </w:rPr>
        <w:t>截流式合流制管网有序推进雨污分流改造；短期内无法完成改造的，应加大合流制溢流（Combined Sewer Overflow）管控，并符合GB/T 51345 规定的要求。</w:t>
      </w:r>
      <w:bookmarkEnd w:id="133"/>
      <w:bookmarkEnd w:id="134"/>
    </w:p>
    <w:p w14:paraId="4DDE0576">
      <w:pPr>
        <w:pStyle w:val="90"/>
        <w:spacing w:before="156" w:after="156"/>
        <w:rPr>
          <w:rFonts w:hint="eastAsia" w:ascii="宋体" w:hAnsi="宋体" w:eastAsia="宋体" w:cs="宋体"/>
        </w:rPr>
      </w:pPr>
      <w:bookmarkStart w:id="135" w:name="_Toc186218649"/>
      <w:bookmarkStart w:id="136" w:name="_Toc186218711"/>
      <w:r>
        <w:rPr>
          <w:rFonts w:hint="eastAsia" w:ascii="宋体" w:hAnsi="宋体" w:eastAsia="宋体" w:cs="宋体"/>
        </w:rPr>
        <w:t>设计时宜考虑径流污染收集、雨水调蓄、海绵城市等设施，可参考GB 51174、GB</w:t>
      </w:r>
      <w:r>
        <w:rPr>
          <w:rFonts w:hint="eastAsia" w:ascii="宋体" w:hAnsi="宋体" w:eastAsia="宋体" w:cs="宋体"/>
          <w:lang w:val="en-US" w:eastAsia="zh-CN"/>
        </w:rPr>
        <w:t xml:space="preserve"> </w:t>
      </w:r>
      <w:r>
        <w:rPr>
          <w:rFonts w:hint="eastAsia" w:ascii="宋体" w:hAnsi="宋体" w:eastAsia="宋体" w:cs="宋体"/>
        </w:rPr>
        <w:t>55027</w:t>
      </w:r>
      <w:r>
        <w:rPr>
          <w:rFonts w:hint="eastAsia" w:ascii="宋体" w:hAnsi="宋体" w:eastAsia="宋体" w:cs="宋体"/>
          <w:lang w:eastAsia="zh-CN"/>
        </w:rPr>
        <w:t>、</w:t>
      </w:r>
      <w:r>
        <w:rPr>
          <w:rFonts w:hint="eastAsia" w:ascii="宋体" w:hAnsi="宋体" w:eastAsia="宋体" w:cs="宋体"/>
        </w:rPr>
        <w:fldChar w:fldCharType="begin"/>
      </w:r>
      <w:r>
        <w:rPr>
          <w:rFonts w:hint="eastAsia" w:ascii="宋体" w:hAnsi="宋体" w:eastAsia="宋体" w:cs="宋体"/>
        </w:rPr>
        <w:instrText xml:space="preserve"> HYPERLINK "http://bzxx.ahbz.org.cn/searchListDetail.html?type=0&amp;id=13795757" \t "http://bzxx.ahbz.org.cn/searchList.html?type=3&amp;keyWord=DB34/_blank" </w:instrText>
      </w:r>
      <w:r>
        <w:rPr>
          <w:rFonts w:hint="eastAsia" w:ascii="宋体" w:hAnsi="宋体" w:eastAsia="宋体" w:cs="宋体"/>
        </w:rPr>
        <w:fldChar w:fldCharType="separate"/>
      </w:r>
      <w:r>
        <w:rPr>
          <w:rFonts w:ascii="宋体" w:hAnsi="宋体" w:eastAsia="宋体" w:cs="宋体"/>
        </w:rPr>
        <w:t>DB34/T 5031-2015</w:t>
      </w:r>
      <w:r>
        <w:rPr>
          <w:rFonts w:ascii="宋体" w:hAnsi="宋体" w:eastAsia="宋体" w:cs="宋体"/>
        </w:rPr>
        <w:fldChar w:fldCharType="end"/>
      </w:r>
      <w:r>
        <w:rPr>
          <w:rFonts w:hint="eastAsia" w:ascii="宋体" w:hAnsi="宋体" w:eastAsia="宋体" w:cs="宋体"/>
        </w:rPr>
        <w:t>《安徽省海绵城市规划设计导则（试行）》和《海绵城市建设技术指南——低影响开发雨水系统构建（试行）》等有关规定。</w:t>
      </w:r>
      <w:bookmarkEnd w:id="135"/>
      <w:bookmarkEnd w:id="136"/>
    </w:p>
    <w:p w14:paraId="2CE97638">
      <w:pPr>
        <w:pStyle w:val="90"/>
        <w:spacing w:before="156" w:after="156"/>
        <w:rPr>
          <w:rFonts w:hint="eastAsia" w:ascii="宋体" w:hAnsi="宋体" w:eastAsia="宋体" w:cs="宋体"/>
        </w:rPr>
      </w:pPr>
      <w:bookmarkStart w:id="137" w:name="_Toc186218650"/>
      <w:bookmarkStart w:id="138" w:name="_Toc186218712"/>
      <w:r>
        <w:rPr>
          <w:rFonts w:hint="eastAsia" w:ascii="宋体" w:hAnsi="宋体" w:eastAsia="宋体" w:cs="宋体"/>
        </w:rPr>
        <w:t>设计时宜考虑排水水质、水量监测及远程调控条件等智能化设备设施的布局，可参考CJJ/T 120有关规定。</w:t>
      </w:r>
      <w:bookmarkEnd w:id="132"/>
      <w:bookmarkEnd w:id="137"/>
      <w:bookmarkEnd w:id="138"/>
    </w:p>
    <w:p w14:paraId="38185517">
      <w:pPr>
        <w:pStyle w:val="90"/>
        <w:spacing w:before="156" w:after="156"/>
        <w:rPr>
          <w:rFonts w:hint="eastAsia" w:ascii="宋体" w:hAnsi="宋体" w:eastAsia="宋体" w:cs="宋体"/>
        </w:rPr>
      </w:pPr>
      <w:bookmarkStart w:id="139" w:name="_Toc186218713"/>
      <w:bookmarkStart w:id="140" w:name="_Toc186218651"/>
      <w:r>
        <w:rPr>
          <w:rFonts w:hint="eastAsia" w:ascii="宋体" w:hAnsi="宋体" w:eastAsia="宋体" w:cs="宋体"/>
        </w:rPr>
        <w:t>公共排水设施、生活小区类、其他类以及工业企业内部管网设计符合GB 50014、GB 50015、GB50316 和GB 50187 等有关规定；施工、验收应满足GB 50268、GB 50242、GB 50235 和GB 50184 等有关规定。</w:t>
      </w:r>
      <w:bookmarkEnd w:id="139"/>
      <w:bookmarkEnd w:id="140"/>
    </w:p>
    <w:p w14:paraId="37373A19">
      <w:pPr>
        <w:pStyle w:val="90"/>
        <w:spacing w:before="156" w:after="156"/>
        <w:rPr>
          <w:rFonts w:hint="eastAsia" w:ascii="宋体" w:hAnsi="宋体" w:eastAsia="宋体" w:cs="宋体"/>
        </w:rPr>
      </w:pPr>
      <w:bookmarkStart w:id="141" w:name="_Toc186218714"/>
      <w:bookmarkStart w:id="142" w:name="_Toc186218652"/>
      <w:r>
        <w:rPr>
          <w:rFonts w:hint="eastAsia" w:ascii="宋体" w:hAnsi="宋体" w:eastAsia="宋体" w:cs="宋体"/>
        </w:rPr>
        <w:t>重点行业工艺废水管线（如涉第一类污染物等）明管敷设或架空敷设，并应满足防腐、防渗漏等要求。有条件的一般工业企业可推进明管敷设。</w:t>
      </w:r>
      <w:bookmarkEnd w:id="141"/>
      <w:bookmarkEnd w:id="142"/>
    </w:p>
    <w:p w14:paraId="68F8D8BF">
      <w:pPr>
        <w:pStyle w:val="90"/>
        <w:spacing w:before="156" w:after="156"/>
        <w:rPr>
          <w:rFonts w:hint="eastAsia" w:ascii="宋体" w:hAnsi="宋体" w:eastAsia="宋体" w:cs="宋体"/>
        </w:rPr>
      </w:pPr>
      <w:bookmarkStart w:id="143" w:name="_Toc186218716"/>
      <w:bookmarkStart w:id="144" w:name="_Toc186218654"/>
      <w:r>
        <w:rPr>
          <w:rFonts w:hint="eastAsia" w:ascii="宋体" w:hAnsi="宋体" w:eastAsia="宋体" w:cs="宋体"/>
        </w:rPr>
        <w:t>污废水预处理构筑物设计、施工及验收符合GB 50014、GB 50015、GB 50141 和GB 50032等有关规定。</w:t>
      </w:r>
      <w:bookmarkEnd w:id="143"/>
      <w:bookmarkEnd w:id="144"/>
    </w:p>
    <w:p w14:paraId="13EC55D6">
      <w:pPr>
        <w:pStyle w:val="90"/>
        <w:spacing w:before="156" w:after="156"/>
        <w:rPr>
          <w:rFonts w:hint="eastAsia" w:ascii="宋体" w:hAnsi="宋体" w:eastAsia="宋体" w:cs="宋体"/>
        </w:rPr>
      </w:pPr>
      <w:bookmarkStart w:id="145" w:name="_Toc186218717"/>
      <w:bookmarkStart w:id="146" w:name="_Toc186218655"/>
      <w:r>
        <w:rPr>
          <w:rFonts w:hint="eastAsia" w:ascii="宋体" w:hAnsi="宋体" w:eastAsia="宋体" w:cs="宋体"/>
        </w:rPr>
        <w:t>选择成品化粪池、检查井、隔油器应满足国家、行业相关标准要求；化粪池符合GB/T 39549、JC/T 2460、CJ/T 489 和CJ/T 409 等要求，产品规格容积应满足设计需求。隔油池设计和处理效果应符合HJ 554 等相关要求。</w:t>
      </w:r>
      <w:bookmarkEnd w:id="145"/>
      <w:bookmarkEnd w:id="146"/>
    </w:p>
    <w:p w14:paraId="5A1223B6">
      <w:pPr>
        <w:pStyle w:val="90"/>
        <w:spacing w:before="156" w:after="156"/>
        <w:rPr>
          <w:rFonts w:hint="eastAsia" w:ascii="宋体" w:hAnsi="宋体" w:eastAsia="宋体" w:cs="宋体"/>
        </w:rPr>
      </w:pPr>
      <w:bookmarkStart w:id="147" w:name="_Toc186218718"/>
      <w:bookmarkStart w:id="148" w:name="_Toc186218656"/>
      <w:r>
        <w:rPr>
          <w:rFonts w:hint="eastAsia" w:ascii="宋体" w:hAnsi="宋体" w:eastAsia="宋体" w:cs="宋体"/>
        </w:rPr>
        <w:t>设计与施工具体要求见DB34/T XXXX.3。</w:t>
      </w:r>
      <w:bookmarkEnd w:id="147"/>
      <w:bookmarkEnd w:id="148"/>
    </w:p>
    <w:p w14:paraId="138DD384">
      <w:pPr>
        <w:pStyle w:val="89"/>
        <w:spacing w:before="312" w:after="312"/>
      </w:pPr>
      <w:bookmarkStart w:id="149" w:name="_Toc186218719"/>
      <w:bookmarkStart w:id="150" w:name="_Toc26307"/>
      <w:bookmarkStart w:id="151" w:name="_Toc20016"/>
      <w:bookmarkStart w:id="152" w:name="_Toc186218657"/>
      <w:bookmarkStart w:id="153" w:name="_Toc16212"/>
      <w:r>
        <w:rPr>
          <w:rFonts w:hint="eastAsia"/>
        </w:rPr>
        <w:t>评估与验收</w:t>
      </w:r>
      <w:bookmarkEnd w:id="149"/>
      <w:bookmarkEnd w:id="150"/>
      <w:bookmarkEnd w:id="151"/>
      <w:bookmarkEnd w:id="152"/>
      <w:bookmarkEnd w:id="153"/>
    </w:p>
    <w:p w14:paraId="0DE43BBF">
      <w:pPr>
        <w:pStyle w:val="90"/>
        <w:spacing w:before="156" w:after="156"/>
        <w:rPr>
          <w:rFonts w:hint="eastAsia" w:ascii="宋体" w:hAnsi="宋体" w:eastAsia="宋体" w:cs="宋体"/>
        </w:rPr>
      </w:pPr>
      <w:bookmarkStart w:id="154" w:name="_Toc186218659"/>
      <w:bookmarkStart w:id="155" w:name="_Toc186218721"/>
      <w:r>
        <w:rPr>
          <w:rFonts w:hint="eastAsia" w:ascii="宋体" w:hAnsi="宋体" w:eastAsia="宋体" w:cs="宋体"/>
        </w:rPr>
        <w:t>城市、乡镇“污废水零直排区”评估工作分为单元（工业园区（工业集聚区）类、生活小区类）、镇（街道、乡）两种规模。</w:t>
      </w:r>
      <w:bookmarkEnd w:id="154"/>
      <w:bookmarkEnd w:id="155"/>
    </w:p>
    <w:p w14:paraId="69D8A661">
      <w:pPr>
        <w:pStyle w:val="90"/>
        <w:spacing w:before="156" w:after="156"/>
        <w:rPr>
          <w:rFonts w:hint="eastAsia" w:ascii="宋体" w:hAnsi="宋体" w:eastAsia="宋体" w:cs="宋体"/>
        </w:rPr>
      </w:pPr>
      <w:bookmarkStart w:id="156" w:name="_Toc186218660"/>
      <w:bookmarkStart w:id="157" w:name="_Toc186218722"/>
      <w:r>
        <w:rPr>
          <w:rFonts w:hint="eastAsia" w:ascii="宋体" w:hAnsi="宋体" w:eastAsia="宋体" w:cs="宋体"/>
        </w:rPr>
        <w:t>单元（工业园区（工业集聚区）类、生活小区类）“污废水零直排区”评估应在工程验收通过后开展，并宜在运行3个月~6个月内进行。</w:t>
      </w:r>
      <w:bookmarkEnd w:id="156"/>
      <w:bookmarkEnd w:id="157"/>
    </w:p>
    <w:p w14:paraId="400ADBDB">
      <w:pPr>
        <w:pStyle w:val="90"/>
        <w:spacing w:before="156" w:after="156"/>
        <w:rPr>
          <w:rFonts w:ascii="宋体" w:hAnsi="宋体" w:eastAsia="宋体" w:cs="宋体"/>
        </w:rPr>
      </w:pPr>
      <w:bookmarkStart w:id="158" w:name="_Toc186218723"/>
      <w:bookmarkStart w:id="159" w:name="_Toc186218661"/>
      <w:r>
        <w:rPr>
          <w:rFonts w:hint="eastAsia" w:ascii="宋体" w:hAnsi="宋体" w:eastAsia="宋体" w:cs="宋体"/>
        </w:rPr>
        <w:t>评估前实施主体应完成自评并提交自评价报告，自评价报告要求见DB34/T XXXX.4。</w:t>
      </w:r>
    </w:p>
    <w:p w14:paraId="7E212132">
      <w:pPr>
        <w:pStyle w:val="90"/>
        <w:spacing w:before="156" w:after="156"/>
        <w:rPr>
          <w:rFonts w:ascii="宋体" w:hAnsi="宋体" w:eastAsia="宋体" w:cs="宋体"/>
        </w:rPr>
      </w:pPr>
      <w:r>
        <w:rPr>
          <w:rFonts w:hint="eastAsia" w:ascii="宋体" w:hAnsi="宋体" w:eastAsia="宋体" w:cs="宋体"/>
        </w:rPr>
        <w:t>评估时实施主体应如实提供相关技术报告、建设方案、工程档案、自评价报告等。</w:t>
      </w:r>
    </w:p>
    <w:p w14:paraId="2261DC5C">
      <w:pPr>
        <w:pStyle w:val="90"/>
        <w:spacing w:before="156" w:after="156"/>
        <w:rPr>
          <w:rFonts w:ascii="宋体" w:hAnsi="宋体" w:eastAsia="宋体" w:cs="宋体"/>
        </w:rPr>
      </w:pPr>
      <w:r>
        <w:rPr>
          <w:rFonts w:hint="eastAsia" w:ascii="宋体" w:hAnsi="宋体" w:eastAsia="宋体" w:cs="宋体"/>
        </w:rPr>
        <w:t>评估应遵循独立性、针对性和客观性的原则。</w:t>
      </w:r>
    </w:p>
    <w:p w14:paraId="6AE712E0">
      <w:pPr>
        <w:pStyle w:val="90"/>
        <w:spacing w:before="156" w:after="156"/>
        <w:rPr>
          <w:rFonts w:ascii="宋体" w:hAnsi="宋体" w:eastAsia="宋体" w:cs="宋体"/>
        </w:rPr>
      </w:pPr>
      <w:r>
        <w:rPr>
          <w:rFonts w:hint="eastAsia" w:ascii="宋体" w:hAnsi="宋体" w:eastAsia="宋体" w:cs="宋体"/>
        </w:rPr>
        <w:t>存在提供材料明显造假的，评估时明显未建设完成的，不予评估认定。</w:t>
      </w:r>
    </w:p>
    <w:p w14:paraId="21FAEAE1">
      <w:pPr>
        <w:pStyle w:val="90"/>
        <w:spacing w:before="156" w:after="156"/>
        <w:rPr>
          <w:rFonts w:hint="eastAsia" w:ascii="宋体" w:hAnsi="宋体" w:eastAsia="宋体" w:cs="宋体"/>
        </w:rPr>
      </w:pPr>
      <w:r>
        <w:rPr>
          <w:rFonts w:hint="eastAsia" w:ascii="宋体" w:hAnsi="宋体" w:eastAsia="宋体" w:cs="宋体"/>
        </w:rPr>
        <w:t>评估与验收工作由实施主体会同相关职能部门</w:t>
      </w:r>
      <w:r>
        <w:rPr>
          <w:rFonts w:hint="eastAsia" w:ascii="宋体" w:hAnsi="宋体" w:eastAsia="宋体" w:cs="宋体"/>
          <w:lang w:val="en-US" w:eastAsia="zh-CN"/>
        </w:rPr>
        <w:t>组织行业技术专家成立评估验收工作组实施</w:t>
      </w:r>
      <w:r>
        <w:rPr>
          <w:rFonts w:hint="eastAsia" w:ascii="宋体" w:hAnsi="宋体" w:eastAsia="宋体" w:cs="宋体"/>
        </w:rPr>
        <w:t>。</w:t>
      </w:r>
      <w:bookmarkEnd w:id="158"/>
      <w:bookmarkEnd w:id="159"/>
    </w:p>
    <w:p w14:paraId="714ACC52">
      <w:pPr>
        <w:pStyle w:val="90"/>
        <w:spacing w:before="156" w:after="156"/>
        <w:rPr>
          <w:rFonts w:hint="eastAsia" w:ascii="宋体" w:hAnsi="宋体" w:eastAsia="宋体" w:cs="宋体"/>
        </w:rPr>
      </w:pPr>
      <w:bookmarkStart w:id="160" w:name="_Toc186218724"/>
      <w:bookmarkStart w:id="161" w:name="_Toc186218662"/>
      <w:r>
        <w:rPr>
          <w:rFonts w:hint="eastAsia" w:ascii="宋体" w:hAnsi="宋体" w:eastAsia="宋体" w:cs="宋体"/>
        </w:rPr>
        <w:t>评估与验收具体要求</w:t>
      </w:r>
      <w:bookmarkStart w:id="162" w:name="_Hlk186304124"/>
      <w:r>
        <w:rPr>
          <w:rFonts w:hint="eastAsia" w:ascii="宋体" w:hAnsi="宋体" w:eastAsia="宋体" w:cs="宋体"/>
        </w:rPr>
        <w:t>见DB34/T XXXX.4</w:t>
      </w:r>
      <w:bookmarkEnd w:id="162"/>
      <w:r>
        <w:rPr>
          <w:rFonts w:hint="eastAsia" w:ascii="宋体" w:hAnsi="宋体" w:eastAsia="宋体" w:cs="宋体"/>
        </w:rPr>
        <w:t>。</w:t>
      </w:r>
      <w:bookmarkEnd w:id="160"/>
      <w:bookmarkEnd w:id="161"/>
    </w:p>
    <w:p w14:paraId="76496774">
      <w:pPr>
        <w:pStyle w:val="89"/>
        <w:spacing w:before="312" w:beforeLines="0" w:after="312" w:afterLines="0"/>
      </w:pPr>
      <w:bookmarkStart w:id="163" w:name="_Toc22461"/>
      <w:bookmarkStart w:id="164" w:name="_Toc186218663"/>
      <w:bookmarkStart w:id="165" w:name="_Toc13761"/>
      <w:bookmarkStart w:id="166" w:name="_Toc186218725"/>
      <w:bookmarkStart w:id="167" w:name="_Toc30353"/>
      <w:r>
        <w:rPr>
          <w:rFonts w:hint="eastAsia"/>
        </w:rPr>
        <w:t>运行与维护</w:t>
      </w:r>
      <w:bookmarkEnd w:id="163"/>
      <w:bookmarkEnd w:id="164"/>
      <w:bookmarkEnd w:id="165"/>
      <w:bookmarkEnd w:id="166"/>
      <w:bookmarkEnd w:id="167"/>
    </w:p>
    <w:p w14:paraId="1059FB33">
      <w:pPr>
        <w:pStyle w:val="90"/>
        <w:spacing w:before="156" w:after="156"/>
        <w:rPr>
          <w:rFonts w:hint="eastAsia" w:ascii="宋体" w:hAnsi="宋体" w:eastAsia="宋体" w:cs="宋体"/>
        </w:rPr>
      </w:pPr>
      <w:bookmarkStart w:id="168" w:name="_Toc186218726"/>
      <w:bookmarkStart w:id="169" w:name="_Toc186218664"/>
      <w:bookmarkStart w:id="170" w:name="_Toc3905"/>
      <w:r>
        <w:rPr>
          <w:rFonts w:hint="eastAsia" w:ascii="宋体" w:hAnsi="宋体" w:eastAsia="宋体" w:cs="宋体"/>
        </w:rPr>
        <w:t>按照“谁主管谁负责、谁污染谁治理谁运维”的原则，明确相关运行维护责任主体。</w:t>
      </w:r>
      <w:bookmarkEnd w:id="168"/>
      <w:bookmarkEnd w:id="169"/>
      <w:bookmarkEnd w:id="170"/>
    </w:p>
    <w:p w14:paraId="65053700">
      <w:pPr>
        <w:pStyle w:val="90"/>
        <w:spacing w:before="156" w:after="156"/>
        <w:rPr>
          <w:rFonts w:hint="eastAsia" w:ascii="宋体" w:hAnsi="宋体" w:eastAsia="宋体" w:cs="宋体"/>
        </w:rPr>
      </w:pPr>
      <w:bookmarkStart w:id="171" w:name="_Toc186218727"/>
      <w:bookmarkStart w:id="172" w:name="_Toc186218665"/>
      <w:bookmarkStart w:id="173" w:name="_Toc28204"/>
      <w:r>
        <w:rPr>
          <w:rFonts w:hint="eastAsia" w:ascii="宋体" w:hAnsi="宋体" w:eastAsia="宋体" w:cs="宋体"/>
        </w:rPr>
        <w:t>建立以政府为主导，第三方专业服务机构为支撑，各方共同参与的运行维护体系。有条件的，可采用县（市、区）整体统一运行维护。</w:t>
      </w:r>
      <w:bookmarkEnd w:id="171"/>
      <w:bookmarkEnd w:id="172"/>
      <w:bookmarkEnd w:id="173"/>
      <w:r>
        <w:rPr>
          <w:rFonts w:hint="eastAsia" w:ascii="宋体" w:hAnsi="宋体" w:eastAsia="宋体" w:cs="宋体"/>
        </w:rPr>
        <w:t>应遵循公开、公平、公正的原则，依法保障居民和单位的合法权益。应符合国家相关法律法规的要求，保证系统的可靠性、安全性和环境友好性。</w:t>
      </w:r>
    </w:p>
    <w:p w14:paraId="17C23608">
      <w:pPr>
        <w:pStyle w:val="90"/>
        <w:spacing w:before="156" w:after="156"/>
        <w:rPr>
          <w:rFonts w:hint="eastAsia" w:ascii="宋体" w:hAnsi="宋体" w:eastAsia="宋体" w:cs="宋体"/>
        </w:rPr>
      </w:pPr>
      <w:bookmarkStart w:id="174" w:name="_Toc27131"/>
      <w:bookmarkStart w:id="175" w:name="_Toc186218728"/>
      <w:bookmarkStart w:id="176" w:name="_Toc186218666"/>
      <w:r>
        <w:rPr>
          <w:rFonts w:hint="eastAsia" w:ascii="宋体" w:hAnsi="宋体" w:eastAsia="宋体" w:cs="宋体"/>
        </w:rPr>
        <w:t>应结合当地实际，建立职责明确、分工清晰、运行维护要求定量的长效管理机制，确保“污废水零直排区”相关设施正常、高效运行，设施设备完好。</w:t>
      </w:r>
      <w:bookmarkEnd w:id="174"/>
      <w:bookmarkEnd w:id="175"/>
      <w:bookmarkEnd w:id="176"/>
    </w:p>
    <w:p w14:paraId="311B3CF4">
      <w:pPr>
        <w:pStyle w:val="90"/>
        <w:spacing w:before="156" w:after="156"/>
        <w:rPr>
          <w:rFonts w:hint="eastAsia" w:ascii="宋体" w:hAnsi="宋体" w:eastAsia="宋体" w:cs="宋体"/>
        </w:rPr>
      </w:pPr>
      <w:bookmarkStart w:id="177" w:name="_Toc186218667"/>
      <w:bookmarkStart w:id="178" w:name="_Toc29199"/>
      <w:bookmarkStart w:id="179" w:name="_Toc186218729"/>
      <w:r>
        <w:rPr>
          <w:rFonts w:hint="eastAsia" w:ascii="宋体" w:hAnsi="宋体" w:eastAsia="宋体" w:cs="宋体"/>
        </w:rPr>
        <w:t>运行维护具体要求见DB34/T XXXX.5。</w:t>
      </w:r>
      <w:bookmarkEnd w:id="177"/>
      <w:bookmarkEnd w:id="178"/>
      <w:bookmarkEnd w:id="179"/>
    </w:p>
    <w:p w14:paraId="7213B9CC">
      <w:pPr>
        <w:pStyle w:val="89"/>
        <w:spacing w:before="312" w:beforeLines="0" w:after="312" w:afterLines="0"/>
      </w:pPr>
      <w:bookmarkStart w:id="180" w:name="_Toc186218730"/>
      <w:bookmarkStart w:id="181" w:name="_Toc20995"/>
      <w:bookmarkStart w:id="182" w:name="_Toc2763"/>
      <w:bookmarkStart w:id="183" w:name="_Toc186218668"/>
      <w:bookmarkStart w:id="184" w:name="_Toc7073"/>
      <w:bookmarkStart w:id="185" w:name="_Toc62855984"/>
      <w:r>
        <w:rPr>
          <w:rFonts w:hint="eastAsia"/>
        </w:rPr>
        <w:t>监督与管理</w:t>
      </w:r>
      <w:bookmarkEnd w:id="180"/>
      <w:bookmarkEnd w:id="181"/>
      <w:bookmarkEnd w:id="182"/>
      <w:bookmarkEnd w:id="183"/>
      <w:bookmarkEnd w:id="184"/>
    </w:p>
    <w:bookmarkEnd w:id="185"/>
    <w:p w14:paraId="49134353">
      <w:pPr>
        <w:pStyle w:val="90"/>
        <w:spacing w:before="156" w:after="156"/>
        <w:rPr>
          <w:rFonts w:hint="eastAsia" w:ascii="宋体" w:hAnsi="宋体" w:eastAsia="宋体" w:cs="宋体"/>
        </w:rPr>
      </w:pPr>
      <w:bookmarkStart w:id="186" w:name="_Toc186218669"/>
      <w:bookmarkStart w:id="187" w:name="_Toc186218731"/>
      <w:r>
        <w:rPr>
          <w:rFonts w:hint="eastAsia" w:ascii="宋体" w:hAnsi="宋体" w:eastAsia="宋体" w:cs="宋体"/>
        </w:rPr>
        <w:t>建立城市、乡镇“污废水零直排区”建设的监督管理制度，定期向建设单元所属各行业主管部门上报建设情况，对已建成的城市、乡镇“污废水零直排区”进行成效跟踪。城市、乡镇“污废水零直排区”建设情况应适时以报告、公告、蓝皮书等形式向社会发布。</w:t>
      </w:r>
      <w:bookmarkEnd w:id="186"/>
      <w:bookmarkEnd w:id="187"/>
    </w:p>
    <w:p w14:paraId="20D9B936">
      <w:pPr>
        <w:pStyle w:val="90"/>
        <w:spacing w:before="156" w:after="156"/>
        <w:rPr>
          <w:rFonts w:hint="eastAsia" w:ascii="宋体" w:hAnsi="宋体" w:eastAsia="宋体" w:cs="宋体"/>
        </w:rPr>
      </w:pPr>
      <w:bookmarkStart w:id="188" w:name="_Toc186218670"/>
      <w:bookmarkStart w:id="189" w:name="_Toc186218732"/>
      <w:r>
        <w:rPr>
          <w:rFonts w:hint="eastAsia" w:ascii="宋体" w:hAnsi="宋体" w:eastAsia="宋体" w:cs="宋体"/>
        </w:rPr>
        <w:t>加强日常运行维护管理，将抽查、督查、评估中发现的问题及时反馈，由实施主体完成整改。</w:t>
      </w:r>
      <w:bookmarkEnd w:id="188"/>
      <w:bookmarkEnd w:id="189"/>
    </w:p>
    <w:p w14:paraId="3DF3B9AA">
      <w:pPr>
        <w:pStyle w:val="90"/>
        <w:spacing w:before="156" w:after="156"/>
        <w:rPr>
          <w:rFonts w:hint="eastAsia" w:ascii="宋体" w:hAnsi="宋体" w:eastAsia="宋体" w:cs="宋体"/>
        </w:rPr>
      </w:pPr>
      <w:bookmarkStart w:id="190" w:name="_Toc186218671"/>
      <w:bookmarkStart w:id="191" w:name="_Toc186218733"/>
      <w:r>
        <w:rPr>
          <w:rFonts w:hint="eastAsia" w:ascii="宋体" w:hAnsi="宋体" w:eastAsia="宋体" w:cs="宋体"/>
        </w:rPr>
        <w:t>建立档案管理制度。档案应涵盖“污废水零直排区”建设全过程,包括建设前、建设过程和建设后等相关管理、技术等资料。包括但不限于：</w:t>
      </w:r>
      <w:bookmarkEnd w:id="190"/>
      <w:bookmarkEnd w:id="191"/>
    </w:p>
    <w:p w14:paraId="3131F9BA">
      <w:pPr>
        <w:pStyle w:val="52"/>
        <w:spacing w:before="156" w:after="156"/>
        <w:rPr>
          <w:rFonts w:hint="eastAsia" w:ascii="宋体" w:hAnsi="宋体" w:eastAsia="宋体" w:cs="宋体"/>
        </w:rPr>
      </w:pPr>
      <w:bookmarkStart w:id="192" w:name="_Toc186218672"/>
      <w:r>
        <w:rPr>
          <w:rFonts w:hint="eastAsia" w:ascii="宋体" w:hAnsi="宋体" w:eastAsia="宋体" w:cs="宋体"/>
        </w:rPr>
        <w:t>——规划方案，包括县（市、区）规划报告、特殊区块“一点一策”方案等资料；</w:t>
      </w:r>
      <w:bookmarkEnd w:id="192"/>
    </w:p>
    <w:p w14:paraId="6F12B837">
      <w:pPr>
        <w:pStyle w:val="52"/>
        <w:spacing w:before="156" w:after="156"/>
        <w:rPr>
          <w:rFonts w:hint="eastAsia" w:ascii="宋体" w:hAnsi="宋体" w:eastAsia="宋体" w:cs="宋体"/>
        </w:rPr>
      </w:pPr>
      <w:bookmarkStart w:id="193" w:name="_Toc186218673"/>
      <w:r>
        <w:rPr>
          <w:rFonts w:hint="eastAsia" w:ascii="宋体" w:hAnsi="宋体" w:eastAsia="宋体" w:cs="宋体"/>
        </w:rPr>
        <w:t>——技术报告，包括排查技术报告、管网检测技术报告等资料；</w:t>
      </w:r>
      <w:bookmarkEnd w:id="193"/>
    </w:p>
    <w:p w14:paraId="66B8E4B7">
      <w:pPr>
        <w:pStyle w:val="52"/>
        <w:spacing w:before="156" w:after="156"/>
        <w:rPr>
          <w:rFonts w:hint="eastAsia" w:ascii="宋体" w:hAnsi="宋体" w:eastAsia="宋体" w:cs="宋体"/>
        </w:rPr>
      </w:pPr>
      <w:bookmarkStart w:id="194" w:name="_Toc186218674"/>
      <w:r>
        <w:rPr>
          <w:rFonts w:hint="eastAsia" w:ascii="宋体" w:hAnsi="宋体" w:eastAsia="宋体" w:cs="宋体"/>
        </w:rPr>
        <w:t>——建设方案，包括问题清单、任务清单、项目清单、责任清单等资料；</w:t>
      </w:r>
      <w:bookmarkEnd w:id="194"/>
    </w:p>
    <w:p w14:paraId="30E43A6C">
      <w:pPr>
        <w:pStyle w:val="52"/>
        <w:spacing w:before="156" w:after="156"/>
        <w:rPr>
          <w:rFonts w:hint="eastAsia" w:ascii="宋体" w:hAnsi="宋体" w:eastAsia="宋体" w:cs="宋体"/>
        </w:rPr>
      </w:pPr>
      <w:bookmarkStart w:id="195" w:name="_Toc186218675"/>
      <w:r>
        <w:rPr>
          <w:rFonts w:hint="eastAsia" w:ascii="宋体" w:hAnsi="宋体" w:eastAsia="宋体" w:cs="宋体"/>
        </w:rPr>
        <w:t>——测绘资料，包括测绘图纸、排查问题图纸等资料；</w:t>
      </w:r>
      <w:bookmarkEnd w:id="195"/>
    </w:p>
    <w:p w14:paraId="2B12D543">
      <w:pPr>
        <w:pStyle w:val="52"/>
        <w:spacing w:before="156" w:after="156"/>
        <w:rPr>
          <w:rFonts w:hint="eastAsia" w:ascii="宋体" w:hAnsi="宋体" w:eastAsia="宋体" w:cs="宋体"/>
        </w:rPr>
      </w:pPr>
      <w:bookmarkStart w:id="196" w:name="_Toc186218676"/>
      <w:r>
        <w:rPr>
          <w:rFonts w:hint="eastAsia" w:ascii="宋体" w:hAnsi="宋体" w:eastAsia="宋体" w:cs="宋体"/>
        </w:rPr>
        <w:t>——工程档案，包括工程设计、工程竣工、工程验收、工程监理等相关资料；</w:t>
      </w:r>
      <w:bookmarkEnd w:id="196"/>
    </w:p>
    <w:p w14:paraId="76BB4701">
      <w:pPr>
        <w:pStyle w:val="52"/>
        <w:spacing w:before="156" w:after="156"/>
        <w:rPr>
          <w:rFonts w:hint="eastAsia" w:ascii="宋体" w:hAnsi="宋体" w:eastAsia="宋体" w:cs="宋体"/>
        </w:rPr>
      </w:pPr>
      <w:bookmarkStart w:id="197" w:name="_Toc186218677"/>
      <w:r>
        <w:rPr>
          <w:rFonts w:hint="eastAsia" w:ascii="宋体" w:hAnsi="宋体" w:eastAsia="宋体" w:cs="宋体"/>
        </w:rPr>
        <w:t>——评估报告，包括建设成效评估报告、自查自验报告等资料；</w:t>
      </w:r>
      <w:bookmarkEnd w:id="197"/>
    </w:p>
    <w:p w14:paraId="66F61BAB">
      <w:pPr>
        <w:pStyle w:val="52"/>
        <w:spacing w:before="156" w:after="156"/>
        <w:rPr>
          <w:rFonts w:hint="eastAsia" w:ascii="宋体" w:hAnsi="宋体" w:eastAsia="宋体" w:cs="宋体"/>
        </w:rPr>
      </w:pPr>
      <w:bookmarkStart w:id="198" w:name="_Toc186218678"/>
      <w:r>
        <w:rPr>
          <w:rFonts w:hint="eastAsia" w:ascii="宋体" w:hAnsi="宋体" w:eastAsia="宋体" w:cs="宋体"/>
        </w:rPr>
        <w:t>——其他资料，如政策文件汇编、建设单元验收和公示证明等资料。</w:t>
      </w:r>
      <w:bookmarkEnd w:id="198"/>
    </w:p>
    <w:p w14:paraId="672B32A6">
      <w:pPr>
        <w:pStyle w:val="90"/>
        <w:spacing w:before="156" w:after="156"/>
        <w:rPr>
          <w:rFonts w:hint="eastAsia" w:ascii="宋体" w:hAnsi="宋体" w:eastAsia="宋体" w:cs="宋体"/>
        </w:rPr>
      </w:pPr>
      <w:bookmarkStart w:id="199" w:name="_Toc186218734"/>
      <w:bookmarkStart w:id="200" w:name="_Toc186218679"/>
      <w:r>
        <w:rPr>
          <w:rFonts w:hint="eastAsia" w:ascii="宋体" w:hAnsi="宋体" w:eastAsia="宋体" w:cs="宋体"/>
        </w:rPr>
        <w:t>归档资料应真实和完整。其中，工程技术资料档案管理符合GB/T 50328 的有关规定；采用电子文件载体形式归档的，应符合GB/T 18894 的有关规定。宜以建设单元为基本单位档案编制成册；镇（街道）可整合相关建设单元档案，形成“污废水零直排区”建设的基础档案数据库。</w:t>
      </w:r>
      <w:bookmarkEnd w:id="199"/>
      <w:bookmarkEnd w:id="200"/>
    </w:p>
    <w:bookmarkEnd w:id="24"/>
    <w:p w14:paraId="146B3407">
      <w:pPr>
        <w:jc w:val="center"/>
      </w:pPr>
      <w:bookmarkStart w:id="201" w:name="BookMark8"/>
      <w:r>
        <w:drawing>
          <wp:inline distT="0" distB="0" distL="114300" distR="114300">
            <wp:extent cx="1485900" cy="317500"/>
            <wp:effectExtent l="0" t="0" r="0" b="0"/>
            <wp:docPr id="3" name="图片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1"/>
                    <pic:cNvPicPr>
                      <a:picLocks noChangeAspect="1"/>
                    </pic:cNvPicPr>
                  </pic:nvPicPr>
                  <pic:blipFill>
                    <a:blip r:embed="rId26"/>
                    <a:stretch>
                      <a:fillRect/>
                    </a:stretch>
                  </pic:blipFill>
                  <pic:spPr>
                    <a:xfrm>
                      <a:off x="0" y="0"/>
                      <a:ext cx="1485900" cy="317500"/>
                    </a:xfrm>
                    <a:prstGeom prst="rect">
                      <a:avLst/>
                    </a:prstGeom>
                    <a:noFill/>
                    <a:ln>
                      <a:noFill/>
                    </a:ln>
                  </pic:spPr>
                </pic:pic>
              </a:graphicData>
            </a:graphic>
          </wp:inline>
        </w:drawing>
      </w:r>
      <w:bookmarkEnd w:id="201"/>
    </w:p>
    <w:sectPr>
      <w:headerReference r:id="rId19" w:type="default"/>
      <w:footerReference r:id="rId21" w:type="default"/>
      <w:headerReference r:id="rId20" w:type="even"/>
      <w:footerReference r:id="rId22" w:type="even"/>
      <w:pgSz w:w="11906" w:h="16838"/>
      <w:pgMar w:top="567" w:right="1134" w:bottom="1134" w:left="1134" w:header="1418" w:footer="1134" w:gutter="284"/>
      <w:cols w:space="720"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D12FC">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68533E">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B76FE">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86F98D">
    <w:pPr>
      <w:pStyle w:val="39"/>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5564D">
    <w:pPr>
      <w:pStyle w:val="38"/>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CBF5FB">
    <w:pPr>
      <w:pStyle w:val="39"/>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05B6F3">
    <w:pPr>
      <w:pStyle w:val="38"/>
    </w:pPr>
    <w:r>
      <w:fldChar w:fldCharType="begin"/>
    </w:r>
    <w:r>
      <w:instrText xml:space="preserve"> PAGE   \* MERGEFORMAT \* MERGEFORMAT </w:instrText>
    </w:r>
    <w:r>
      <w:fldChar w:fldCharType="separate"/>
    </w:r>
    <w:r>
      <w:t>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D99214">
    <w:pPr>
      <w:pStyle w:val="39"/>
    </w:pPr>
    <w:r>
      <w:fldChar w:fldCharType="begin"/>
    </w:r>
    <w:r>
      <w:instrText xml:space="preserve">PAGE   \* MERGEFORMAT</w:instrText>
    </w:r>
    <w:r>
      <w:fldChar w:fldCharType="separate"/>
    </w:r>
    <w:r>
      <w:rPr>
        <w:lang w:val="zh-CN"/>
      </w:rPr>
      <w:t>11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C87669">
    <w:pPr>
      <w:pStyle w:val="38"/>
    </w:pPr>
    <w:r>
      <w:fldChar w:fldCharType="begin"/>
    </w:r>
    <w:r>
      <w:instrText xml:space="preserve"> PAGE   \* MERGEFORMAT \* MERGEFORMAT </w:instrText>
    </w:r>
    <w:r>
      <w:fldChar w:fldCharType="separate"/>
    </w:r>
    <w:r>
      <w:t>10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2B065">
    <w:pPr>
      <w:pStyle w:val="19"/>
      <w:wordWrap w:val="0"/>
      <w:jc w:val="right"/>
      <w:rPr>
        <w:rFonts w:ascii="黑体" w:eastAsia="黑体"/>
      </w:rPr>
    </w:pPr>
    <w:r>
      <w:rPr>
        <w:rFonts w:ascii="黑体" w:eastAsia="黑体"/>
      </w:rPr>
      <w:t>Q/LB.</w:t>
    </w:r>
    <w:r>
      <w:rPr>
        <w:rFonts w:hint="eastAsia" w:ascii="黑体" w:eastAsia="黑体"/>
      </w:rPr>
      <w:t>□</w:t>
    </w:r>
    <w:r>
      <w:rPr>
        <w:rFonts w:asci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8AA82">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991FAE">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B04F9">
    <w:pPr>
      <w:pStyle w:val="48"/>
    </w:pPr>
    <w:r>
      <w:fldChar w:fldCharType="begin"/>
    </w:r>
    <w:r>
      <w:instrText xml:space="preserve"> STYLEREF  标准文件_文件编号  \* MERGEFORMAT </w:instrText>
    </w:r>
    <w:r>
      <w:fldChar w:fldCharType="separate"/>
    </w:r>
    <w:r>
      <w:t>DB 34/T XXXX—202X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D8A664">
    <w:pPr>
      <w:pStyle w:val="49"/>
    </w:pPr>
    <w:r>
      <w:fldChar w:fldCharType="begin"/>
    </w:r>
    <w:r>
      <w:instrText xml:space="preserve"> STYLEREF  标准文件_文件编号 \* MERGEFORMAT </w:instrText>
    </w:r>
    <w:r>
      <w:fldChar w:fldCharType="separate"/>
    </w:r>
    <w:r>
      <w:t>DB 34/T XXXX—202X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84E8B0">
    <w:pPr>
      <w:pStyle w:val="48"/>
    </w:pPr>
    <w:r>
      <w:fldChar w:fldCharType="begin"/>
    </w:r>
    <w:r>
      <w:instrText xml:space="preserve"> STYLEREF  标准文件_文件编号  \* MERGEFORMAT </w:instrText>
    </w:r>
    <w:r>
      <w:fldChar w:fldCharType="separate"/>
    </w:r>
    <w:r>
      <w:t>DB 34/T XXXX—202X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FAEE4D">
    <w:pPr>
      <w:pStyle w:val="49"/>
    </w:pPr>
    <w:r>
      <w:fldChar w:fldCharType="begin"/>
    </w:r>
    <w:r>
      <w:instrText xml:space="preserve"> STYLEREF  标准文件_文件编号 \* MERGEFORMAT </w:instrText>
    </w:r>
    <w:r>
      <w:fldChar w:fldCharType="separate"/>
    </w:r>
    <w:r>
      <w:t>DB 34/T XXXX—202X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597617">
    <w:pPr>
      <w:pStyle w:val="48"/>
    </w:pPr>
    <w:r>
      <w:fldChar w:fldCharType="begin"/>
    </w:r>
    <w:r>
      <w:instrText xml:space="preserve"> STYLEREF  标准文件_文件编号  \* MERGEFORMAT </w:instrText>
    </w:r>
    <w:r>
      <w:fldChar w:fldCharType="separate"/>
    </w:r>
    <w:r>
      <w:t>DB 34/T XXXX—202X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3B68D0">
    <w:pPr>
      <w:pStyle w:val="49"/>
    </w:pPr>
    <w:r>
      <w:fldChar w:fldCharType="begin"/>
    </w:r>
    <w:r>
      <w:instrText xml:space="preserve"> STYLEREF  标准文件_文件编号 \* MERGEFORMAT </w:instrText>
    </w:r>
    <w:r>
      <w:fldChar w:fldCharType="separate"/>
    </w:r>
    <w:r>
      <w:t>DB 34/T XXXX—202X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542FC3"/>
    <w:multiLevelType w:val="multilevel"/>
    <w:tmpl w:val="8C542FC3"/>
    <w:lvl w:ilvl="0" w:tentative="0">
      <w:start w:val="1"/>
      <w:numFmt w:val="decimal"/>
      <w:pStyle w:val="97"/>
      <w:suff w:val="nothing"/>
      <w:lvlText w:val="表%1　"/>
      <w:lvlJc w:val="left"/>
      <w:pPr>
        <w:ind w:left="0" w:firstLine="0"/>
      </w:pPr>
    </w:lvl>
    <w:lvl w:ilvl="1" w:tentative="0">
      <w:start w:val="1"/>
      <w:numFmt w:val="decimal"/>
      <w:lvlText w:val="%1.%2"/>
      <w:lvlJc w:val="left"/>
      <w:pPr>
        <w:ind w:left="992" w:hanging="567"/>
      </w:pPr>
    </w:lvl>
    <w:lvl w:ilvl="2" w:tentative="0">
      <w:start w:val="1"/>
      <w:numFmt w:val="decimal"/>
      <w:lvlText w:val="%1.%2.%3"/>
      <w:lvlJc w:val="left"/>
      <w:pPr>
        <w:ind w:left="1417"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
    <w:nsid w:val="A2F051BC"/>
    <w:multiLevelType w:val="multilevel"/>
    <w:tmpl w:val="A2F051BC"/>
    <w:lvl w:ilvl="0" w:tentative="0">
      <w:start w:val="1"/>
      <w:numFmt w:val="none"/>
      <w:pStyle w:val="137"/>
      <w:suff w:val="nothing"/>
      <w:lvlText w:val="%1"/>
      <w:lvlJc w:val="left"/>
      <w:pPr>
        <w:ind w:left="0" w:firstLine="0"/>
      </w:pPr>
      <w:rPr>
        <w:rFonts w:hint="eastAsia"/>
      </w:rPr>
    </w:lvl>
    <w:lvl w:ilvl="1" w:tentative="0">
      <w:start w:val="1"/>
      <w:numFmt w:val="decimal"/>
      <w:pStyle w:val="89"/>
      <w:suff w:val="nothing"/>
      <w:lvlText w:val="%1%2　"/>
      <w:lvlJc w:val="left"/>
      <w:pPr>
        <w:ind w:left="0" w:firstLine="0"/>
      </w:pPr>
      <w:rPr>
        <w:rFonts w:hint="eastAsia" w:ascii="黑体" w:hAnsi="黑体" w:eastAsia="黑体"/>
        <w:b w:val="0"/>
        <w:i w:val="0"/>
        <w:sz w:val="21"/>
      </w:rPr>
    </w:lvl>
    <w:lvl w:ilvl="2" w:tentative="0">
      <w:start w:val="1"/>
      <w:numFmt w:val="decimal"/>
      <w:pStyle w:val="90"/>
      <w:suff w:val="nothing"/>
      <w:lvlText w:val="%1%2.%3　"/>
      <w:lvlJc w:val="left"/>
      <w:pPr>
        <w:ind w:left="283" w:firstLine="0"/>
      </w:pPr>
      <w:rPr>
        <w:rFonts w:ascii="宋体" w:hAnsi="宋体" w:eastAsia="宋体" w:cs="Times New Roman"/>
        <w:b w:val="0"/>
        <w:bCs w:val="0"/>
        <w:i w:val="0"/>
        <w:iCs w:val="0"/>
        <w:caps w:val="0"/>
        <w:smallCaps w:val="0"/>
        <w:strike w:val="0"/>
        <w:dstrike w:val="0"/>
        <w:outline w:val="0"/>
        <w:shadow w:val="0"/>
        <w:emboss w:val="0"/>
        <w:imprint w:val="0"/>
        <w:vanish w:val="0"/>
        <w:spacing w:val="0"/>
        <w:position w:val="0"/>
        <w:u w:val="none"/>
        <w:vertAlign w:val="baseline"/>
      </w:rPr>
    </w:lvl>
    <w:lvl w:ilvl="3" w:tentative="0">
      <w:start w:val="1"/>
      <w:numFmt w:val="decimal"/>
      <w:pStyle w:val="52"/>
      <w:suff w:val="nothing"/>
      <w:lvlText w:val="%1%2.%3.%4　"/>
      <w:lvlJc w:val="left"/>
      <w:pPr>
        <w:ind w:left="0" w:firstLine="0"/>
      </w:pPr>
      <w:rPr>
        <w:rFonts w:hint="eastAsia" w:ascii="黑体" w:hAnsi="黑体" w:eastAsia="黑体"/>
        <w:b w:val="0"/>
        <w:i w:val="0"/>
        <w:sz w:val="21"/>
      </w:rPr>
    </w:lvl>
    <w:lvl w:ilvl="4" w:tentative="0">
      <w:start w:val="1"/>
      <w:numFmt w:val="decimal"/>
      <w:pStyle w:val="80"/>
      <w:suff w:val="nothing"/>
      <w:lvlText w:val="%1%2.%3.%4.%5　"/>
      <w:lvlJc w:val="left"/>
      <w:pPr>
        <w:ind w:left="5812" w:firstLine="0"/>
      </w:pPr>
      <w:rPr>
        <w:rFonts w:hint="eastAsia" w:ascii="黑体" w:hAnsi="黑体" w:eastAsia="黑体"/>
        <w:b w:val="0"/>
        <w:i w:val="0"/>
        <w:sz w:val="21"/>
      </w:rPr>
    </w:lvl>
    <w:lvl w:ilvl="5" w:tentative="0">
      <w:start w:val="1"/>
      <w:numFmt w:val="decimal"/>
      <w:pStyle w:val="84"/>
      <w:suff w:val="nothing"/>
      <w:lvlText w:val="%1%2.%3.%4.%5.%6　"/>
      <w:lvlJc w:val="left"/>
      <w:pPr>
        <w:ind w:left="0" w:firstLine="0"/>
      </w:pPr>
      <w:rPr>
        <w:rFonts w:hint="eastAsia" w:ascii="黑体" w:hAnsi="黑体" w:eastAsia="黑体"/>
        <w:b w:val="0"/>
        <w:i w:val="0"/>
        <w:sz w:val="21"/>
      </w:rPr>
    </w:lvl>
    <w:lvl w:ilvl="6" w:tentative="0">
      <w:start w:val="1"/>
      <w:numFmt w:val="decimal"/>
      <w:pStyle w:val="88"/>
      <w:suff w:val="nothing"/>
      <w:lvlText w:val="%1%2.%3.%4.%5.%6.%7　"/>
      <w:lvlJc w:val="left"/>
      <w:pPr>
        <w:ind w:left="0" w:firstLine="0"/>
      </w:pPr>
      <w:rPr>
        <w:rFonts w:hint="eastAsia" w:ascii="黑体" w:hAnsi="黑体" w:eastAsia="黑体"/>
        <w:b w:val="0"/>
        <w:i w:val="0"/>
        <w:sz w:val="21"/>
      </w:rPr>
    </w:lvl>
    <w:lvl w:ilvl="7" w:tentative="0">
      <w:start w:val="1"/>
      <w:numFmt w:val="decimal"/>
      <w:lvlText w:val="%1.%2.%3.%4.%5.%6.%7.%8"/>
      <w:lvlJc w:val="left"/>
      <w:pPr>
        <w:ind w:left="3969" w:hanging="1418"/>
      </w:pPr>
      <w:rPr>
        <w:rFonts w:hint="eastAsia"/>
      </w:rPr>
    </w:lvl>
    <w:lvl w:ilvl="8" w:tentative="0">
      <w:start w:val="1"/>
      <w:numFmt w:val="decimal"/>
      <w:lvlText w:val="%1.%2.%3.%4.%5.%6.%7.%8.%9"/>
      <w:lvlJc w:val="left"/>
      <w:pPr>
        <w:ind w:left="4677" w:hanging="1700"/>
      </w:pPr>
      <w:rPr>
        <w:rFonts w:hint="eastAsia"/>
      </w:rPr>
    </w:lvl>
  </w:abstractNum>
  <w:abstractNum w:abstractNumId="2">
    <w:nsid w:val="ED6C20D6"/>
    <w:multiLevelType w:val="multilevel"/>
    <w:tmpl w:val="ED6C20D6"/>
    <w:lvl w:ilvl="0" w:tentative="0">
      <w:start w:val="1"/>
      <w:numFmt w:val="bullet"/>
      <w:pStyle w:val="172"/>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
    <w:nsid w:val="02837933"/>
    <w:multiLevelType w:val="multilevel"/>
    <w:tmpl w:val="02837933"/>
    <w:lvl w:ilvl="0" w:tentative="0">
      <w:start w:val="1"/>
      <w:numFmt w:val="decimal"/>
      <w:pStyle w:val="51"/>
      <w:lvlText w:val="[%1]"/>
      <w:lvlJc w:val="left"/>
      <w:pPr>
        <w:ind w:left="1646" w:hanging="648"/>
      </w:pPr>
    </w:lvl>
    <w:lvl w:ilvl="1" w:tentative="0">
      <w:start w:val="1"/>
      <w:numFmt w:val="lowerLetter"/>
      <w:lvlText w:val="%2)"/>
      <w:lvlJc w:val="left"/>
      <w:pPr>
        <w:ind w:left="1838" w:hanging="420"/>
      </w:pPr>
    </w:lvl>
    <w:lvl w:ilvl="2" w:tentative="0">
      <w:start w:val="1"/>
      <w:numFmt w:val="lowerRoman"/>
      <w:lvlText w:val="%3."/>
      <w:lvlJc w:val="right"/>
      <w:pPr>
        <w:ind w:left="2258" w:hanging="420"/>
      </w:pPr>
    </w:lvl>
    <w:lvl w:ilvl="3" w:tentative="0">
      <w:start w:val="1"/>
      <w:numFmt w:val="decimal"/>
      <w:lvlText w:val="%4."/>
      <w:lvlJc w:val="left"/>
      <w:pPr>
        <w:ind w:left="2678" w:hanging="420"/>
      </w:pPr>
    </w:lvl>
    <w:lvl w:ilvl="4" w:tentative="0">
      <w:start w:val="1"/>
      <w:numFmt w:val="lowerLetter"/>
      <w:lvlText w:val="%5)"/>
      <w:lvlJc w:val="left"/>
      <w:pPr>
        <w:ind w:left="3098" w:hanging="420"/>
      </w:pPr>
    </w:lvl>
    <w:lvl w:ilvl="5" w:tentative="0">
      <w:start w:val="1"/>
      <w:numFmt w:val="lowerRoman"/>
      <w:lvlText w:val="%6."/>
      <w:lvlJc w:val="right"/>
      <w:pPr>
        <w:ind w:left="3518" w:hanging="420"/>
      </w:pPr>
    </w:lvl>
    <w:lvl w:ilvl="6" w:tentative="0">
      <w:start w:val="1"/>
      <w:numFmt w:val="decimal"/>
      <w:lvlText w:val="%7."/>
      <w:lvlJc w:val="left"/>
      <w:pPr>
        <w:ind w:left="3938" w:hanging="420"/>
      </w:pPr>
    </w:lvl>
    <w:lvl w:ilvl="7" w:tentative="0">
      <w:start w:val="1"/>
      <w:numFmt w:val="lowerLetter"/>
      <w:lvlText w:val="%8)"/>
      <w:lvlJc w:val="left"/>
      <w:pPr>
        <w:ind w:left="4358" w:hanging="420"/>
      </w:pPr>
    </w:lvl>
    <w:lvl w:ilvl="8" w:tentative="0">
      <w:start w:val="1"/>
      <w:numFmt w:val="lowerRoman"/>
      <w:lvlText w:val="%9."/>
      <w:lvlJc w:val="right"/>
      <w:pPr>
        <w:ind w:left="4778" w:hanging="420"/>
      </w:pPr>
    </w:lvl>
  </w:abstractNum>
  <w:abstractNum w:abstractNumId="4">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egacy w:legacy="1" w:legacySpace="0" w:legacyIndent="0"/>
      <w:lvlJc w:val="left"/>
      <w:pPr>
        <w:ind w:left="0" w:firstLine="0"/>
      </w:pPr>
    </w:lvl>
    <w:lvl w:ilvl="2" w:tentative="0">
      <w:start w:val="1"/>
      <w:numFmt w:val="decimal"/>
      <w:pStyle w:val="144"/>
      <w:suff w:val="nothing"/>
      <w:lvlText w:val="%1%2.%3　"/>
      <w:lvlJc w:val="left"/>
      <w:pPr>
        <w:ind w:left="0" w:firstLine="0"/>
      </w:pPr>
    </w:lvl>
    <w:lvl w:ilvl="3" w:tentative="0">
      <w:start w:val="1"/>
      <w:numFmt w:val="decimal"/>
      <w:pStyle w:val="103"/>
      <w:suff w:val="nothing"/>
      <w:lvlText w:val="%1%2.%3.%4　"/>
      <w:lvlJc w:val="left"/>
      <w:pPr>
        <w:ind w:left="0" w:firstLine="0"/>
      </w:pPr>
    </w:lvl>
    <w:lvl w:ilvl="4" w:tentative="0">
      <w:start w:val="1"/>
      <w:numFmt w:val="decimal"/>
      <w:pStyle w:val="138"/>
      <w:suff w:val="nothing"/>
      <w:lvlText w:val="%1%2.%3.%4.%5　"/>
      <w:lvlJc w:val="left"/>
      <w:pPr>
        <w:ind w:left="0" w:firstLine="0"/>
      </w:pPr>
    </w:lvl>
    <w:lvl w:ilvl="5" w:tentative="0">
      <w:start w:val="1"/>
      <w:numFmt w:val="decimal"/>
      <w:pStyle w:val="140"/>
      <w:suff w:val="nothing"/>
      <w:lvlText w:val="%1%2.%3.%4.%5.%6　"/>
      <w:lvlJc w:val="left"/>
      <w:pPr>
        <w:ind w:left="0" w:firstLine="0"/>
      </w:pPr>
    </w:lvl>
    <w:lvl w:ilvl="6" w:tentative="0">
      <w:start w:val="1"/>
      <w:numFmt w:val="decimal"/>
      <w:pStyle w:val="143"/>
      <w:suff w:val="nothing"/>
      <w:lvlText w:val="%1%2.%3.%4.%5.%6.%7　"/>
      <w:lvlJc w:val="left"/>
      <w:pPr>
        <w:ind w:left="0" w:firstLine="0"/>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5">
    <w:nsid w:val="079102AD"/>
    <w:multiLevelType w:val="multilevel"/>
    <w:tmpl w:val="079102AD"/>
    <w:lvl w:ilvl="0" w:tentative="0">
      <w:start w:val="1"/>
      <w:numFmt w:val="decimal"/>
      <w:pStyle w:val="165"/>
      <w:suff w:val="nothing"/>
      <w:lvlText w:val="注%1："/>
      <w:lvlJc w:val="left"/>
      <w:pPr>
        <w:ind w:left="811" w:hanging="448"/>
      </w:pPr>
      <w:rPr>
        <w:rFonts w:hint="eastAsia" w:ascii="黑体" w:hAnsi="黑体" w:eastAsia="黑体"/>
        <w:b w:val="0"/>
        <w:i w:val="0"/>
        <w:sz w:val="18"/>
      </w:rPr>
    </w:lvl>
    <w:lvl w:ilvl="1" w:tentative="0">
      <w:start w:val="1"/>
      <w:numFmt w:val="lowerLetter"/>
      <w:lvlText w:val="%2)"/>
      <w:lvlJc w:val="left"/>
      <w:pPr>
        <w:ind w:left="992" w:hanging="629"/>
      </w:pPr>
      <w:rPr>
        <w:rFonts w:hint="eastAsia"/>
      </w:rPr>
    </w:lvl>
    <w:lvl w:ilvl="2" w:tentative="0">
      <w:start w:val="1"/>
      <w:numFmt w:val="lowerRoman"/>
      <w:lvlText w:val="%3."/>
      <w:lvlJc w:val="right"/>
      <w:pPr>
        <w:ind w:left="992" w:hanging="629"/>
      </w:pPr>
      <w:rPr>
        <w:rFonts w:hint="eastAsia"/>
      </w:rPr>
    </w:lvl>
    <w:lvl w:ilvl="3" w:tentative="0">
      <w:start w:val="1"/>
      <w:numFmt w:val="decimal"/>
      <w:lvlText w:val="%4."/>
      <w:lvlJc w:val="left"/>
      <w:pPr>
        <w:ind w:left="992" w:hanging="629"/>
      </w:pPr>
      <w:rPr>
        <w:rFonts w:hint="eastAsia"/>
      </w:rPr>
    </w:lvl>
    <w:lvl w:ilvl="4" w:tentative="0">
      <w:start w:val="1"/>
      <w:numFmt w:val="lowerLetter"/>
      <w:lvlText w:val="%5)"/>
      <w:lvlJc w:val="left"/>
      <w:pPr>
        <w:ind w:left="992" w:hanging="629"/>
      </w:pPr>
      <w:rPr>
        <w:rFonts w:hint="eastAsia"/>
      </w:rPr>
    </w:lvl>
    <w:lvl w:ilvl="5" w:tentative="0">
      <w:start w:val="1"/>
      <w:numFmt w:val="lowerRoman"/>
      <w:lvlText w:val="%6."/>
      <w:lvlJc w:val="right"/>
      <w:pPr>
        <w:ind w:left="992" w:hanging="629"/>
      </w:pPr>
      <w:rPr>
        <w:rFonts w:hint="eastAsia"/>
      </w:rPr>
    </w:lvl>
    <w:lvl w:ilvl="6" w:tentative="0">
      <w:start w:val="1"/>
      <w:numFmt w:val="decimal"/>
      <w:lvlText w:val="%7."/>
      <w:lvlJc w:val="left"/>
      <w:pPr>
        <w:ind w:left="992" w:hanging="629"/>
      </w:pPr>
      <w:rPr>
        <w:rFonts w:hint="eastAsia"/>
      </w:rPr>
    </w:lvl>
    <w:lvl w:ilvl="7" w:tentative="0">
      <w:start w:val="1"/>
      <w:numFmt w:val="lowerLetter"/>
      <w:lvlText w:val="%8)"/>
      <w:lvlJc w:val="left"/>
      <w:pPr>
        <w:ind w:left="992" w:hanging="629"/>
      </w:pPr>
      <w:rPr>
        <w:rFonts w:hint="eastAsia"/>
      </w:rPr>
    </w:lvl>
    <w:lvl w:ilvl="8" w:tentative="0">
      <w:start w:val="1"/>
      <w:numFmt w:val="lowerRoman"/>
      <w:lvlText w:val="%9."/>
      <w:lvlJc w:val="right"/>
      <w:pPr>
        <w:ind w:left="992" w:hanging="629"/>
      </w:pPr>
      <w:rPr>
        <w:rFonts w:hint="eastAsia"/>
      </w:rPr>
    </w:lvl>
  </w:abstractNum>
  <w:abstractNum w:abstractNumId="6">
    <w:nsid w:val="0AE367E9"/>
    <w:multiLevelType w:val="multilevel"/>
    <w:tmpl w:val="0AE367E9"/>
    <w:lvl w:ilvl="0" w:tentative="0">
      <w:start w:val="1"/>
      <w:numFmt w:val="none"/>
      <w:pStyle w:val="166"/>
      <w:suff w:val="nothing"/>
      <w:lvlText w:val="%1示例："/>
      <w:lvlJc w:val="left"/>
      <w:pPr>
        <w:ind w:left="0" w:firstLine="363"/>
      </w:pPr>
      <w:rPr>
        <w:rFonts w:hint="eastAsia" w:ascii="黑体" w:hAnsi="黑体" w:eastAsia="黑体"/>
        <w:b w:val="0"/>
        <w:i w:val="0"/>
        <w:sz w:val="18"/>
      </w:rPr>
    </w:lvl>
    <w:lvl w:ilvl="1" w:tentative="0">
      <w:start w:val="1"/>
      <w:numFmt w:val="lowerLetter"/>
      <w:lvlText w:val="%2)"/>
      <w:lvlJc w:val="left"/>
      <w:pPr>
        <w:ind w:left="0" w:firstLine="363"/>
      </w:pPr>
      <w:rPr>
        <w:rFonts w:hint="eastAsia"/>
      </w:rPr>
    </w:lvl>
    <w:lvl w:ilvl="2" w:tentative="0">
      <w:start w:val="1"/>
      <w:numFmt w:val="lowerRoman"/>
      <w:lvlText w:val="%3."/>
      <w:lvlJc w:val="right"/>
      <w:pPr>
        <w:ind w:left="0" w:firstLine="363"/>
      </w:pPr>
      <w:rPr>
        <w:rFonts w:hint="eastAsia"/>
      </w:rPr>
    </w:lvl>
    <w:lvl w:ilvl="3" w:tentative="0">
      <w:start w:val="1"/>
      <w:numFmt w:val="decimal"/>
      <w:lvlText w:val="%4."/>
      <w:lvlJc w:val="left"/>
      <w:pPr>
        <w:ind w:left="0" w:firstLine="363"/>
      </w:pPr>
      <w:rPr>
        <w:rFonts w:hint="eastAsia"/>
      </w:rPr>
    </w:lvl>
    <w:lvl w:ilvl="4" w:tentative="0">
      <w:start w:val="1"/>
      <w:numFmt w:val="lowerLetter"/>
      <w:lvlText w:val="%5)"/>
      <w:lvlJc w:val="left"/>
      <w:pPr>
        <w:ind w:left="0" w:firstLine="363"/>
      </w:pPr>
      <w:rPr>
        <w:rFonts w:hint="eastAsia"/>
      </w:rPr>
    </w:lvl>
    <w:lvl w:ilvl="5" w:tentative="0">
      <w:start w:val="1"/>
      <w:numFmt w:val="lowerRoman"/>
      <w:lvlText w:val="%6."/>
      <w:lvlJc w:val="right"/>
      <w:pPr>
        <w:ind w:left="0" w:firstLine="363"/>
      </w:pPr>
      <w:rPr>
        <w:rFonts w:hint="eastAsia"/>
      </w:rPr>
    </w:lvl>
    <w:lvl w:ilvl="6" w:tentative="0">
      <w:start w:val="1"/>
      <w:numFmt w:val="decimal"/>
      <w:lvlText w:val="%7."/>
      <w:lvlJc w:val="left"/>
      <w:pPr>
        <w:ind w:left="0" w:firstLine="363"/>
      </w:pPr>
      <w:rPr>
        <w:rFonts w:hint="eastAsia"/>
      </w:rPr>
    </w:lvl>
    <w:lvl w:ilvl="7" w:tentative="0">
      <w:start w:val="1"/>
      <w:numFmt w:val="lowerLetter"/>
      <w:lvlText w:val="%8)"/>
      <w:lvlJc w:val="left"/>
      <w:pPr>
        <w:ind w:left="0" w:firstLine="363"/>
      </w:pPr>
      <w:rPr>
        <w:rFonts w:hint="eastAsia"/>
      </w:rPr>
    </w:lvl>
    <w:lvl w:ilvl="8" w:tentative="0">
      <w:start w:val="1"/>
      <w:numFmt w:val="lowerRoman"/>
      <w:lvlText w:val="%9."/>
      <w:lvlJc w:val="right"/>
      <w:pPr>
        <w:ind w:left="0" w:firstLine="363"/>
      </w:pPr>
      <w:rPr>
        <w:rFonts w:hint="eastAsia"/>
      </w:rPr>
    </w:lvl>
  </w:abstractNum>
  <w:abstractNum w:abstractNumId="7">
    <w:nsid w:val="0BDC1670"/>
    <w:multiLevelType w:val="multilevel"/>
    <w:tmpl w:val="0BDC1670"/>
    <w:lvl w:ilvl="0" w:tentative="0">
      <w:start w:val="1"/>
      <w:numFmt w:val="decimal"/>
      <w:pStyle w:val="54"/>
      <w:lvlText w:val="[%1]"/>
      <w:lvlJc w:val="left"/>
      <w:pPr>
        <w:ind w:left="823"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D051F45"/>
    <w:multiLevelType w:val="multilevel"/>
    <w:tmpl w:val="0D051F45"/>
    <w:lvl w:ilvl="0" w:tentative="0">
      <w:start w:val="1"/>
      <w:numFmt w:val="lowerRoman"/>
      <w:pStyle w:val="154"/>
      <w:lvlText w:val="%1)"/>
      <w:lvlJc w:val="left"/>
      <w:pPr>
        <w:ind w:left="851" w:hanging="426"/>
      </w:pPr>
      <w:rPr>
        <w:rFonts w:hint="eastAsia" w:ascii="宋体" w:hAnsi="宋体" w:eastAsia="宋体"/>
        <w:sz w:val="21"/>
      </w:rPr>
    </w:lvl>
    <w:lvl w:ilvl="1" w:tentative="0">
      <w:start w:val="1"/>
      <w:numFmt w:val="lowerLetter"/>
      <w:lvlText w:val="%2)"/>
      <w:lvlJc w:val="left"/>
      <w:pPr>
        <w:ind w:left="1543" w:hanging="420"/>
      </w:pPr>
      <w:rPr>
        <w:rFonts w:hint="eastAsia"/>
      </w:rPr>
    </w:lvl>
    <w:lvl w:ilvl="2" w:tentative="0">
      <w:start w:val="1"/>
      <w:numFmt w:val="lowerRoman"/>
      <w:lvlText w:val="%3."/>
      <w:lvlJc w:val="right"/>
      <w:pPr>
        <w:ind w:left="1963" w:hanging="420"/>
      </w:pPr>
      <w:rPr>
        <w:rFonts w:hint="eastAsia"/>
      </w:rPr>
    </w:lvl>
    <w:lvl w:ilvl="3" w:tentative="0">
      <w:start w:val="1"/>
      <w:numFmt w:val="decimal"/>
      <w:lvlText w:val="%4."/>
      <w:lvlJc w:val="left"/>
      <w:pPr>
        <w:ind w:left="2383" w:hanging="420"/>
      </w:pPr>
      <w:rPr>
        <w:rFonts w:hint="eastAsia"/>
      </w:rPr>
    </w:lvl>
    <w:lvl w:ilvl="4" w:tentative="0">
      <w:start w:val="1"/>
      <w:numFmt w:val="lowerLetter"/>
      <w:lvlText w:val="%5)"/>
      <w:lvlJc w:val="left"/>
      <w:pPr>
        <w:ind w:left="2803" w:hanging="420"/>
      </w:pPr>
      <w:rPr>
        <w:rFonts w:hint="eastAsia"/>
      </w:rPr>
    </w:lvl>
    <w:lvl w:ilvl="5" w:tentative="0">
      <w:start w:val="1"/>
      <w:numFmt w:val="lowerRoman"/>
      <w:lvlText w:val="%6."/>
      <w:lvlJc w:val="right"/>
      <w:pPr>
        <w:ind w:left="3223" w:hanging="420"/>
      </w:pPr>
      <w:rPr>
        <w:rFonts w:hint="eastAsia"/>
      </w:rPr>
    </w:lvl>
    <w:lvl w:ilvl="6" w:tentative="0">
      <w:start w:val="1"/>
      <w:numFmt w:val="decimal"/>
      <w:lvlText w:val="%7."/>
      <w:lvlJc w:val="left"/>
      <w:pPr>
        <w:ind w:left="3643" w:hanging="420"/>
      </w:pPr>
      <w:rPr>
        <w:rFonts w:hint="eastAsia"/>
      </w:rPr>
    </w:lvl>
    <w:lvl w:ilvl="7" w:tentative="0">
      <w:start w:val="1"/>
      <w:numFmt w:val="lowerLetter"/>
      <w:lvlText w:val="%8)"/>
      <w:lvlJc w:val="left"/>
      <w:pPr>
        <w:ind w:left="4063" w:hanging="420"/>
      </w:pPr>
      <w:rPr>
        <w:rFonts w:hint="eastAsia"/>
      </w:rPr>
    </w:lvl>
    <w:lvl w:ilvl="8" w:tentative="0">
      <w:start w:val="1"/>
      <w:numFmt w:val="lowerRoman"/>
      <w:lvlText w:val="%9."/>
      <w:lvlJc w:val="right"/>
      <w:pPr>
        <w:ind w:left="4483" w:hanging="420"/>
      </w:pPr>
      <w:rPr>
        <w:rFonts w:hint="eastAsia"/>
      </w:rPr>
    </w:lvl>
  </w:abstractNum>
  <w:abstractNum w:abstractNumId="9">
    <w:nsid w:val="1AF15012"/>
    <w:multiLevelType w:val="multilevel"/>
    <w:tmpl w:val="1AF15012"/>
    <w:lvl w:ilvl="0" w:tentative="0">
      <w:start w:val="1"/>
      <w:numFmt w:val="upperLetter"/>
      <w:pStyle w:val="72"/>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0">
    <w:nsid w:val="1EAA1992"/>
    <w:multiLevelType w:val="multilevel"/>
    <w:tmpl w:val="1EAA1992"/>
    <w:lvl w:ilvl="0" w:tentative="0">
      <w:start w:val="1"/>
      <w:numFmt w:val="none"/>
      <w:pStyle w:val="78"/>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ind w:left="4791" w:hanging="1418"/>
      </w:pPr>
    </w:lvl>
    <w:lvl w:ilvl="8" w:tentative="0">
      <w:start w:val="1"/>
      <w:numFmt w:val="decimal"/>
      <w:lvlText w:val="%1.%2.%3.%4.%5.%6.%7.%8.%9"/>
      <w:lvlJc w:val="left"/>
      <w:pPr>
        <w:ind w:left="5499" w:hanging="1700"/>
      </w:pPr>
    </w:lvl>
  </w:abstractNum>
  <w:abstractNum w:abstractNumId="11">
    <w:nsid w:val="32F04FB2"/>
    <w:multiLevelType w:val="multilevel"/>
    <w:tmpl w:val="32F04FB2"/>
    <w:lvl w:ilvl="0" w:tentative="0">
      <w:start w:val="1"/>
      <w:numFmt w:val="lowerLetter"/>
      <w:pStyle w:val="86"/>
      <w:lvlText w:val="%1"/>
      <w:lvlJc w:val="left"/>
      <w:pPr>
        <w:ind w:left="539" w:hanging="119"/>
      </w:pPr>
      <w:rPr>
        <w:rFonts w:hint="eastAsia"/>
        <w:caps w:val="0"/>
        <w:small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378FCF3C"/>
    <w:multiLevelType w:val="multilevel"/>
    <w:tmpl w:val="378FCF3C"/>
    <w:lvl w:ilvl="0" w:tentative="0">
      <w:start w:val="1"/>
      <w:numFmt w:val="none"/>
      <w:pStyle w:val="96"/>
      <w:lvlText w:val="%1注"/>
      <w:lvlJc w:val="left"/>
      <w:pPr>
        <w:ind w:left="760" w:hanging="284"/>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44C50F90"/>
    <w:multiLevelType w:val="multilevel"/>
    <w:tmpl w:val="44C50F90"/>
    <w:lvl w:ilvl="0" w:tentative="0">
      <w:start w:val="1"/>
      <w:numFmt w:val="lowerLetter"/>
      <w:pStyle w:val="159"/>
      <w:lvlText w:val="%1)"/>
      <w:lvlJc w:val="left"/>
      <w:pPr>
        <w:ind w:left="851" w:hanging="426"/>
      </w:pPr>
      <w:rPr>
        <w:rFonts w:hint="eastAsia" w:ascii="宋体" w:hAnsi="宋体" w:eastAsia="宋体"/>
        <w:sz w:val="21"/>
      </w:rPr>
    </w:lvl>
    <w:lvl w:ilvl="1" w:tentative="0">
      <w:start w:val="1"/>
      <w:numFmt w:val="decimal"/>
      <w:pStyle w:val="94"/>
      <w:lvlText w:val="%2)"/>
      <w:lvlJc w:val="left"/>
      <w:pPr>
        <w:ind w:left="1276" w:hanging="425"/>
      </w:pPr>
      <w:rPr>
        <w:rFonts w:hint="eastAsia" w:ascii="宋体" w:hAnsi="宋体" w:eastAsia="宋体"/>
        <w:sz w:val="21"/>
      </w:rPr>
    </w:lvl>
    <w:lvl w:ilvl="2" w:tentative="0">
      <w:start w:val="1"/>
      <w:numFmt w:val="decimal"/>
      <w:pStyle w:val="102"/>
      <w:lvlText w:val="(%3)"/>
      <w:lvlJc w:val="left"/>
      <w:pPr>
        <w:ind w:left="1701" w:hanging="425"/>
      </w:pPr>
      <w:rPr>
        <w:rFonts w:hint="eastAsia" w:ascii="宋体" w:hAnsi="宋体" w:eastAsia="宋体"/>
        <w:sz w:val="21"/>
      </w:rPr>
    </w:lvl>
    <w:lvl w:ilvl="3" w:tentative="0">
      <w:start w:val="1"/>
      <w:numFmt w:val="decimal"/>
      <w:lvlText w:val="%4."/>
      <w:lvlJc w:val="left"/>
      <w:pPr>
        <w:ind w:left="2099" w:hanging="419"/>
      </w:pPr>
      <w:rPr>
        <w:rFonts w:hint="eastAsia"/>
      </w:rPr>
    </w:lvl>
    <w:lvl w:ilvl="4" w:tentative="0">
      <w:start w:val="1"/>
      <w:numFmt w:val="lowerLetter"/>
      <w:lvlText w:val="%5)"/>
      <w:lvlJc w:val="left"/>
      <w:pPr>
        <w:ind w:left="2519" w:hanging="419"/>
      </w:pPr>
      <w:rPr>
        <w:rFonts w:hint="eastAsia"/>
      </w:rPr>
    </w:lvl>
    <w:lvl w:ilvl="5" w:tentative="0">
      <w:start w:val="1"/>
      <w:numFmt w:val="lowerRoman"/>
      <w:lvlText w:val="%6."/>
      <w:lvlJc w:val="right"/>
      <w:pPr>
        <w:ind w:left="2939" w:hanging="419"/>
      </w:pPr>
      <w:rPr>
        <w:rFonts w:hint="eastAsia"/>
      </w:rPr>
    </w:lvl>
    <w:lvl w:ilvl="6" w:tentative="0">
      <w:start w:val="1"/>
      <w:numFmt w:val="decimal"/>
      <w:lvlText w:val="%7."/>
      <w:lvlJc w:val="left"/>
      <w:pPr>
        <w:ind w:left="3359" w:hanging="419"/>
      </w:pPr>
      <w:rPr>
        <w:rFonts w:hint="eastAsia"/>
      </w:rPr>
    </w:lvl>
    <w:lvl w:ilvl="7" w:tentative="0">
      <w:start w:val="1"/>
      <w:numFmt w:val="lowerLetter"/>
      <w:lvlText w:val="%8)"/>
      <w:lvlJc w:val="left"/>
      <w:pPr>
        <w:ind w:left="3779" w:hanging="419"/>
      </w:pPr>
      <w:rPr>
        <w:rFonts w:hint="eastAsia"/>
      </w:rPr>
    </w:lvl>
    <w:lvl w:ilvl="8" w:tentative="0">
      <w:start w:val="1"/>
      <w:numFmt w:val="lowerRoman"/>
      <w:lvlText w:val="%9."/>
      <w:lvlJc w:val="right"/>
      <w:pPr>
        <w:ind w:left="4199" w:hanging="419"/>
      </w:pPr>
      <w:rPr>
        <w:rFonts w:hint="eastAsia"/>
      </w:rPr>
    </w:lvl>
  </w:abstractNum>
  <w:abstractNum w:abstractNumId="14">
    <w:nsid w:val="46A78334"/>
    <w:multiLevelType w:val="multilevel"/>
    <w:tmpl w:val="46A78334"/>
    <w:lvl w:ilvl="0" w:tentative="0">
      <w:start w:val="1"/>
      <w:numFmt w:val="none"/>
      <w:pStyle w:val="173"/>
      <w:lvlText w:val="──"/>
      <w:lvlJc w:val="left"/>
      <w:pPr>
        <w:ind w:left="851" w:firstLine="0"/>
      </w:pPr>
      <w:rPr>
        <w:rFonts w:hint="eastAsia" w:ascii="宋体" w:hAnsi="宋体" w:eastAsia="宋体"/>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15">
    <w:nsid w:val="48802D1C"/>
    <w:multiLevelType w:val="multilevel"/>
    <w:tmpl w:val="48802D1C"/>
    <w:lvl w:ilvl="0" w:tentative="0">
      <w:start w:val="1"/>
      <w:numFmt w:val="upperLetter"/>
      <w:pStyle w:val="182"/>
      <w:lvlText w:val="%1"/>
      <w:lvlJc w:val="left"/>
      <w:pPr>
        <w:ind w:left="420" w:hanging="420"/>
      </w:pPr>
      <w:rPr>
        <w:rFonts w:hint="eastAsia"/>
      </w:rPr>
    </w:lvl>
    <w:lvl w:ilvl="1" w:tentative="0">
      <w:start w:val="1"/>
      <w:numFmt w:val="decimal"/>
      <w:pStyle w:val="70"/>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68"/>
      <w:suff w:val="nothing"/>
      <w:lvlText w:val="示例%1："/>
      <w:lvlJc w:val="left"/>
      <w:pPr>
        <w:ind w:left="0" w:firstLine="363"/>
      </w:pPr>
      <w:rPr>
        <w:rFonts w:hint="eastAsia" w:ascii="黑体" w:hAns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ind w:left="992" w:hanging="629"/>
      </w:pPr>
      <w:rPr>
        <w:rFonts w:hint="eastAsia"/>
      </w:rPr>
    </w:lvl>
    <w:lvl w:ilvl="4" w:tentative="0">
      <w:start w:val="1"/>
      <w:numFmt w:val="lowerLetter"/>
      <w:lvlText w:val="%5)"/>
      <w:lvlJc w:val="left"/>
      <w:pPr>
        <w:ind w:left="992" w:hanging="629"/>
      </w:pPr>
      <w:rPr>
        <w:rFonts w:hint="eastAsia"/>
      </w:rPr>
    </w:lvl>
    <w:lvl w:ilvl="5" w:tentative="0">
      <w:start w:val="1"/>
      <w:numFmt w:val="lowerRoman"/>
      <w:lvlText w:val="%6."/>
      <w:lvlJc w:val="right"/>
      <w:pPr>
        <w:ind w:left="992" w:hanging="629"/>
      </w:pPr>
      <w:rPr>
        <w:rFonts w:hint="eastAsia"/>
      </w:rPr>
    </w:lvl>
    <w:lvl w:ilvl="6" w:tentative="0">
      <w:start w:val="1"/>
      <w:numFmt w:val="decimal"/>
      <w:lvlText w:val="%7."/>
      <w:lvlJc w:val="left"/>
      <w:pPr>
        <w:ind w:left="992" w:hanging="629"/>
      </w:pPr>
      <w:rPr>
        <w:rFonts w:hint="eastAsia"/>
      </w:rPr>
    </w:lvl>
    <w:lvl w:ilvl="7" w:tentative="0">
      <w:start w:val="1"/>
      <w:numFmt w:val="lowerLetter"/>
      <w:lvlText w:val="%8)"/>
      <w:lvlJc w:val="left"/>
      <w:pPr>
        <w:ind w:left="992" w:hanging="629"/>
      </w:pPr>
      <w:rPr>
        <w:rFonts w:hint="eastAsia"/>
      </w:rPr>
    </w:lvl>
    <w:lvl w:ilvl="8" w:tentative="0">
      <w:start w:val="1"/>
      <w:numFmt w:val="lowerRoman"/>
      <w:lvlText w:val="%9."/>
      <w:lvlJc w:val="right"/>
      <w:pPr>
        <w:ind w:left="992" w:hanging="629"/>
      </w:pPr>
      <w:rPr>
        <w:rFonts w:hint="eastAsia"/>
      </w:rPr>
    </w:lvl>
  </w:abstractNum>
  <w:abstractNum w:abstractNumId="17">
    <w:nsid w:val="4E5D0534"/>
    <w:multiLevelType w:val="multilevel"/>
    <w:tmpl w:val="4E5D0534"/>
    <w:lvl w:ilvl="0" w:tentative="0">
      <w:start w:val="1"/>
      <w:numFmt w:val="decimal"/>
      <w:pStyle w:val="101"/>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ind w:left="3969" w:hanging="1418"/>
      </w:pPr>
    </w:lvl>
    <w:lvl w:ilvl="8" w:tentative="0">
      <w:start w:val="1"/>
      <w:numFmt w:val="decimal"/>
      <w:lvlText w:val="%1.%2.%3.%4.%5.%6.%7.%8.%9"/>
      <w:lvlJc w:val="left"/>
      <w:pPr>
        <w:ind w:left="4677" w:hanging="1701"/>
      </w:pPr>
    </w:lvl>
  </w:abstractNum>
  <w:abstractNum w:abstractNumId="18">
    <w:nsid w:val="54632751"/>
    <w:multiLevelType w:val="multilevel"/>
    <w:tmpl w:val="54632751"/>
    <w:lvl w:ilvl="0" w:tentative="0">
      <w:start w:val="1"/>
      <w:numFmt w:val="none"/>
      <w:pStyle w:val="79"/>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ind w:left="5982" w:hanging="1418"/>
      </w:pPr>
    </w:lvl>
    <w:lvl w:ilvl="8" w:tentative="0">
      <w:start w:val="1"/>
      <w:numFmt w:val="decimal"/>
      <w:lvlText w:val="%1.%2.%3.%4.%5.%6.%7.%8.%9"/>
      <w:lvlJc w:val="left"/>
      <w:pPr>
        <w:ind w:left="6690" w:hanging="1700"/>
      </w:pPr>
    </w:lvl>
  </w:abstractNum>
  <w:abstractNum w:abstractNumId="19">
    <w:nsid w:val="557C2AF5"/>
    <w:multiLevelType w:val="multilevel"/>
    <w:tmpl w:val="557C2AF5"/>
    <w:lvl w:ilvl="0" w:tentative="0">
      <w:start w:val="1"/>
      <w:numFmt w:val="decimal"/>
      <w:pStyle w:val="99"/>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ind w:left="3969" w:hanging="1418"/>
      </w:pPr>
    </w:lvl>
    <w:lvl w:ilvl="8" w:tentative="0">
      <w:start w:val="1"/>
      <w:numFmt w:val="decimal"/>
      <w:lvlText w:val="%1.%2.%3.%4.%5.%6.%7.%8.%9"/>
      <w:lvlJc w:val="left"/>
      <w:pPr>
        <w:ind w:left="4677" w:hanging="1701"/>
      </w:pPr>
    </w:lvl>
  </w:abstractNum>
  <w:abstractNum w:abstractNumId="20">
    <w:nsid w:val="5603797C"/>
    <w:multiLevelType w:val="multilevel"/>
    <w:tmpl w:val="5603797C"/>
    <w:lvl w:ilvl="0" w:tentative="0">
      <w:start w:val="1"/>
      <w:numFmt w:val="upperLetter"/>
      <w:pStyle w:val="183"/>
      <w:suff w:val="space"/>
      <w:lvlText w:val="%1"/>
      <w:lvlJc w:val="left"/>
      <w:pPr>
        <w:ind w:left="425" w:hanging="425"/>
      </w:pPr>
      <w:rPr>
        <w:rFonts w:hint="eastAsia"/>
      </w:rPr>
    </w:lvl>
    <w:lvl w:ilvl="1" w:tentative="0">
      <w:start w:val="1"/>
      <w:numFmt w:val="decimal"/>
      <w:pStyle w:val="64"/>
      <w:suff w:val="space"/>
      <w:lvlText w:val="表%1.%2"/>
      <w:lvlJc w:val="center"/>
      <w:pPr>
        <w:ind w:left="0" w:firstLine="0"/>
      </w:pPr>
      <w:rPr>
        <w:rFonts w:hint="eastAsia" w:ascii="黑体" w:hAns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644622F9"/>
    <w:multiLevelType w:val="multilevel"/>
    <w:tmpl w:val="644622F9"/>
    <w:lvl w:ilvl="0" w:tentative="0">
      <w:start w:val="1"/>
      <w:numFmt w:val="upperRoman"/>
      <w:pStyle w:val="153"/>
      <w:lvlText w:val="%1)"/>
      <w:lvlJc w:val="left"/>
      <w:pPr>
        <w:ind w:left="851" w:hanging="426"/>
      </w:pPr>
      <w:rPr>
        <w:rFonts w:hint="eastAsia" w:ascii="宋体" w:hAnsi="宋体" w:eastAsia="宋体"/>
        <w:sz w:val="21"/>
      </w:rPr>
    </w:lvl>
    <w:lvl w:ilvl="1" w:tentative="0">
      <w:start w:val="1"/>
      <w:numFmt w:val="lowerLetter"/>
      <w:lvlText w:val="%2)"/>
      <w:lvlJc w:val="left"/>
      <w:pPr>
        <w:ind w:left="1310" w:hanging="420"/>
      </w:pPr>
      <w:rPr>
        <w:rFonts w:hint="eastAsia"/>
      </w:rPr>
    </w:lvl>
    <w:lvl w:ilvl="2" w:tentative="0">
      <w:start w:val="1"/>
      <w:numFmt w:val="lowerRoman"/>
      <w:lvlText w:val="%3."/>
      <w:lvlJc w:val="right"/>
      <w:pPr>
        <w:ind w:left="1730" w:hanging="420"/>
      </w:pPr>
      <w:rPr>
        <w:rFonts w:hint="eastAsia"/>
      </w:rPr>
    </w:lvl>
    <w:lvl w:ilvl="3" w:tentative="0">
      <w:start w:val="1"/>
      <w:numFmt w:val="decimal"/>
      <w:lvlText w:val="%4."/>
      <w:lvlJc w:val="left"/>
      <w:pPr>
        <w:ind w:left="2150" w:hanging="420"/>
      </w:pPr>
      <w:rPr>
        <w:rFonts w:hint="eastAsia"/>
      </w:rPr>
    </w:lvl>
    <w:lvl w:ilvl="4" w:tentative="0">
      <w:start w:val="1"/>
      <w:numFmt w:val="lowerLetter"/>
      <w:lvlText w:val="%5)"/>
      <w:lvlJc w:val="left"/>
      <w:pPr>
        <w:ind w:left="2570" w:hanging="420"/>
      </w:pPr>
      <w:rPr>
        <w:rFonts w:hint="eastAsia"/>
      </w:rPr>
    </w:lvl>
    <w:lvl w:ilvl="5" w:tentative="0">
      <w:start w:val="1"/>
      <w:numFmt w:val="lowerRoman"/>
      <w:lvlText w:val="%6."/>
      <w:lvlJc w:val="right"/>
      <w:pPr>
        <w:ind w:left="2990" w:hanging="420"/>
      </w:pPr>
      <w:rPr>
        <w:rFonts w:hint="eastAsia"/>
      </w:rPr>
    </w:lvl>
    <w:lvl w:ilvl="6" w:tentative="0">
      <w:start w:val="1"/>
      <w:numFmt w:val="decimal"/>
      <w:lvlText w:val="%7."/>
      <w:lvlJc w:val="left"/>
      <w:pPr>
        <w:ind w:left="3410" w:hanging="420"/>
      </w:pPr>
      <w:rPr>
        <w:rFonts w:hint="eastAsia"/>
      </w:rPr>
    </w:lvl>
    <w:lvl w:ilvl="7" w:tentative="0">
      <w:start w:val="1"/>
      <w:numFmt w:val="lowerLetter"/>
      <w:lvlText w:val="%8)"/>
      <w:lvlJc w:val="left"/>
      <w:pPr>
        <w:ind w:left="3830" w:hanging="420"/>
      </w:pPr>
      <w:rPr>
        <w:rFonts w:hint="eastAsia"/>
      </w:rPr>
    </w:lvl>
    <w:lvl w:ilvl="8" w:tentative="0">
      <w:start w:val="1"/>
      <w:numFmt w:val="lowerRoman"/>
      <w:lvlText w:val="%9."/>
      <w:lvlJc w:val="right"/>
      <w:pPr>
        <w:ind w:left="4250" w:hanging="420"/>
      </w:pPr>
      <w:rPr>
        <w:rFonts w:hint="eastAsia"/>
      </w:rPr>
    </w:lvl>
  </w:abstractNum>
  <w:abstractNum w:abstractNumId="22">
    <w:nsid w:val="657D3FBC"/>
    <w:multiLevelType w:val="multilevel"/>
    <w:tmpl w:val="657D3FBC"/>
    <w:lvl w:ilvl="0" w:tentative="0">
      <w:start w:val="1"/>
      <w:numFmt w:val="upperLetter"/>
      <w:pStyle w:val="63"/>
      <w:suff w:val="nothing"/>
      <w:lvlText w:val="附录%1"/>
      <w:lvlJc w:val="left"/>
      <w:pPr>
        <w:ind w:left="0" w:firstLine="0"/>
      </w:pPr>
      <w:rPr>
        <w:rFonts w:hint="eastAsia"/>
        <w:spacing w:val="100"/>
      </w:rPr>
    </w:lvl>
    <w:lvl w:ilvl="1" w:tentative="0">
      <w:start w:val="1"/>
      <w:numFmt w:val="decimal"/>
      <w:pStyle w:val="65"/>
      <w:suff w:val="nothing"/>
      <w:lvlText w:val="%1.%2　"/>
      <w:lvlJc w:val="left"/>
      <w:pPr>
        <w:ind w:left="0" w:firstLine="0"/>
      </w:pPr>
      <w:rPr>
        <w:rFonts w:hint="eastAsia" w:ascii="黑体" w:hAnsi="黑体" w:eastAsia="黑体"/>
        <w:b w:val="0"/>
        <w:i w:val="0"/>
        <w:sz w:val="21"/>
      </w:rPr>
    </w:lvl>
    <w:lvl w:ilvl="2" w:tentative="0">
      <w:start w:val="1"/>
      <w:numFmt w:val="decimal"/>
      <w:pStyle w:val="66"/>
      <w:suff w:val="nothing"/>
      <w:lvlText w:val="%1.%2.%3　"/>
      <w:lvlJc w:val="left"/>
      <w:pPr>
        <w:ind w:left="0" w:firstLine="0"/>
      </w:pPr>
      <w:rPr>
        <w:rFonts w:hint="eastAsia" w:ascii="黑体" w:hAnsi="黑体" w:eastAsia="黑体"/>
        <w:b w:val="0"/>
        <w:i w:val="0"/>
        <w:sz w:val="21"/>
      </w:rPr>
    </w:lvl>
    <w:lvl w:ilvl="3" w:tentative="0">
      <w:start w:val="1"/>
      <w:numFmt w:val="decimal"/>
      <w:pStyle w:val="68"/>
      <w:suff w:val="nothing"/>
      <w:lvlText w:val="%1.%2.%3.%4　"/>
      <w:lvlJc w:val="left"/>
      <w:pPr>
        <w:ind w:left="0" w:firstLine="0"/>
      </w:pPr>
      <w:rPr>
        <w:rFonts w:hint="eastAsia" w:ascii="黑体" w:hAnsi="黑体" w:eastAsia="黑体"/>
        <w:b w:val="0"/>
        <w:i w:val="0"/>
        <w:sz w:val="21"/>
      </w:rPr>
    </w:lvl>
    <w:lvl w:ilvl="4" w:tentative="0">
      <w:start w:val="1"/>
      <w:numFmt w:val="decimal"/>
      <w:pStyle w:val="69"/>
      <w:suff w:val="nothing"/>
      <w:lvlText w:val="%1.%2.%3.%4.%5　"/>
      <w:lvlJc w:val="left"/>
      <w:pPr>
        <w:ind w:left="0" w:firstLine="0"/>
      </w:pPr>
      <w:rPr>
        <w:rFonts w:hint="eastAsia" w:ascii="黑体" w:hAnsi="黑体" w:eastAsia="黑体"/>
        <w:b w:val="0"/>
        <w:i w:val="0"/>
        <w:sz w:val="21"/>
      </w:rPr>
    </w:lvl>
    <w:lvl w:ilvl="5" w:tentative="0">
      <w:start w:val="1"/>
      <w:numFmt w:val="decimal"/>
      <w:pStyle w:val="71"/>
      <w:suff w:val="nothing"/>
      <w:lvlText w:val="%1.%2.%3.%4.%5.%6　"/>
      <w:lvlJc w:val="left"/>
      <w:pPr>
        <w:ind w:left="0" w:firstLine="0"/>
      </w:pPr>
      <w:rPr>
        <w:rFonts w:hint="eastAsia" w:ascii="黑体" w:hAns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3">
    <w:nsid w:val="6CA41985"/>
    <w:multiLevelType w:val="multilevel"/>
    <w:tmpl w:val="6CA41985"/>
    <w:lvl w:ilvl="0" w:tentative="0">
      <w:start w:val="1"/>
      <w:numFmt w:val="decimal"/>
      <w:pStyle w:val="83"/>
      <w:lvlText w:val="%1)"/>
      <w:lvlJc w:val="left"/>
      <w:pPr>
        <w:ind w:left="823"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6CE42AC1"/>
    <w:multiLevelType w:val="multilevel"/>
    <w:tmpl w:val="6CE42AC1"/>
    <w:lvl w:ilvl="0" w:tentative="0">
      <w:start w:val="1"/>
      <w:numFmt w:val="lowerLetter"/>
      <w:pStyle w:val="158"/>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6D3A5CB9"/>
    <w:multiLevelType w:val="multilevel"/>
    <w:tmpl w:val="6D3A5CB9"/>
    <w:lvl w:ilvl="0" w:tentative="0">
      <w:start w:val="1"/>
      <w:numFmt w:val="none"/>
      <w:pStyle w:val="95"/>
      <w:lvlText w:val="%1注："/>
      <w:lvlJc w:val="left"/>
      <w:pPr>
        <w:ind w:left="-102" w:firstLine="419"/>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6DBF04F4"/>
    <w:multiLevelType w:val="multilevel"/>
    <w:tmpl w:val="6DBF04F4"/>
    <w:lvl w:ilvl="0" w:tentative="0">
      <w:start w:val="1"/>
      <w:numFmt w:val="none"/>
      <w:pStyle w:val="164"/>
      <w:lvlText w:val="%1注："/>
      <w:lvlJc w:val="left"/>
      <w:pPr>
        <w:ind w:left="737" w:hanging="374"/>
      </w:pPr>
      <w:rPr>
        <w:rFonts w:hint="eastAsia" w:ascii="黑体" w:hAnsi="黑体" w:eastAsia="黑体"/>
        <w:b w:val="0"/>
        <w:i w:val="0"/>
        <w:sz w:val="18"/>
      </w:rPr>
    </w:lvl>
    <w:lvl w:ilvl="1" w:tentative="0">
      <w:start w:val="1"/>
      <w:numFmt w:val="lowerLetter"/>
      <w:lvlText w:val="%2)"/>
      <w:lvlJc w:val="left"/>
      <w:pPr>
        <w:ind w:left="726" w:hanging="363"/>
      </w:pPr>
      <w:rPr>
        <w:rFonts w:hint="eastAsia"/>
      </w:rPr>
    </w:lvl>
    <w:lvl w:ilvl="2" w:tentative="0">
      <w:start w:val="1"/>
      <w:numFmt w:val="lowerRoman"/>
      <w:lvlText w:val="%3."/>
      <w:lvlJc w:val="right"/>
      <w:pPr>
        <w:ind w:left="726" w:hanging="363"/>
      </w:pPr>
      <w:rPr>
        <w:rFonts w:hint="eastAsia"/>
      </w:rPr>
    </w:lvl>
    <w:lvl w:ilvl="3" w:tentative="0">
      <w:start w:val="1"/>
      <w:numFmt w:val="decimal"/>
      <w:lvlText w:val="%4."/>
      <w:lvlJc w:val="left"/>
      <w:pPr>
        <w:ind w:left="726" w:hanging="363"/>
      </w:pPr>
      <w:rPr>
        <w:rFonts w:hint="eastAsia"/>
      </w:rPr>
    </w:lvl>
    <w:lvl w:ilvl="4" w:tentative="0">
      <w:start w:val="1"/>
      <w:numFmt w:val="lowerLetter"/>
      <w:lvlText w:val="%5)"/>
      <w:lvlJc w:val="left"/>
      <w:pPr>
        <w:ind w:left="726" w:hanging="363"/>
      </w:pPr>
      <w:rPr>
        <w:rFonts w:hint="eastAsia"/>
      </w:rPr>
    </w:lvl>
    <w:lvl w:ilvl="5" w:tentative="0">
      <w:start w:val="1"/>
      <w:numFmt w:val="lowerRoman"/>
      <w:lvlText w:val="%6."/>
      <w:lvlJc w:val="right"/>
      <w:pPr>
        <w:ind w:left="726" w:hanging="363"/>
      </w:pPr>
      <w:rPr>
        <w:rFonts w:hint="eastAsia"/>
      </w:rPr>
    </w:lvl>
    <w:lvl w:ilvl="6" w:tentative="0">
      <w:start w:val="1"/>
      <w:numFmt w:val="decimal"/>
      <w:lvlText w:val="%7."/>
      <w:lvlJc w:val="left"/>
      <w:pPr>
        <w:ind w:left="726" w:hanging="363"/>
      </w:pPr>
      <w:rPr>
        <w:rFonts w:hint="eastAsia"/>
      </w:rPr>
    </w:lvl>
    <w:lvl w:ilvl="7" w:tentative="0">
      <w:start w:val="1"/>
      <w:numFmt w:val="lowerLetter"/>
      <w:lvlText w:val="%8)"/>
      <w:lvlJc w:val="left"/>
      <w:pPr>
        <w:ind w:left="726" w:hanging="363"/>
      </w:pPr>
      <w:rPr>
        <w:rFonts w:hint="eastAsia"/>
      </w:rPr>
    </w:lvl>
    <w:lvl w:ilvl="8" w:tentative="0">
      <w:start w:val="1"/>
      <w:numFmt w:val="lowerRoman"/>
      <w:lvlText w:val="%9."/>
      <w:lvlJc w:val="right"/>
      <w:pPr>
        <w:ind w:left="726" w:hanging="363"/>
      </w:pPr>
      <w:rPr>
        <w:rFonts w:hint="eastAsia"/>
      </w:rPr>
    </w:lvl>
  </w:abstractNum>
  <w:abstractNum w:abstractNumId="27">
    <w:nsid w:val="6DF35F19"/>
    <w:multiLevelType w:val="multilevel"/>
    <w:tmpl w:val="6DF35F19"/>
    <w:lvl w:ilvl="0" w:tentative="0">
      <w:start w:val="1"/>
      <w:numFmt w:val="decimal"/>
      <w:pStyle w:val="100"/>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ind w:left="3969" w:hanging="1418"/>
      </w:pPr>
    </w:lvl>
    <w:lvl w:ilvl="8" w:tentative="0">
      <w:start w:val="1"/>
      <w:numFmt w:val="decimal"/>
      <w:lvlText w:val="%1.%2.%3.%4.%5.%6.%7.%8.%9"/>
      <w:lvlJc w:val="left"/>
      <w:pPr>
        <w:ind w:left="4677" w:hanging="1701"/>
      </w:pPr>
    </w:lvl>
  </w:abstractNum>
  <w:abstractNum w:abstractNumId="28">
    <w:nsid w:val="750CD5AF"/>
    <w:multiLevelType w:val="multilevel"/>
    <w:tmpl w:val="750CD5AF"/>
    <w:lvl w:ilvl="0" w:tentative="0">
      <w:start w:val="1"/>
      <w:numFmt w:val="none"/>
      <w:pStyle w:val="75"/>
      <w:lvlText w:val="%1"/>
      <w:lvlJc w:val="left"/>
      <w:pPr>
        <w:ind w:left="425" w:hanging="425"/>
      </w:pPr>
      <w:rPr>
        <w:rFonts w:hint="eastAsia"/>
      </w:rPr>
    </w:lvl>
    <w:lvl w:ilvl="1" w:tentative="0">
      <w:start w:val="1"/>
      <w:numFmt w:val="decimal"/>
      <w:pStyle w:val="184"/>
      <w:suff w:val="nothing"/>
      <w:lvlText w:val="%10.%2 "/>
      <w:lvlJc w:val="left"/>
      <w:pPr>
        <w:ind w:left="0" w:firstLine="0"/>
      </w:pPr>
      <w:rPr>
        <w:rFonts w:hint="eastAsia" w:ascii="黑体" w:hAnsi="黑体" w:eastAsia="黑体"/>
        <w:b w:val="0"/>
        <w:i w:val="0"/>
        <w:sz w:val="21"/>
      </w:rPr>
    </w:lvl>
    <w:lvl w:ilvl="2" w:tentative="0">
      <w:start w:val="1"/>
      <w:numFmt w:val="decimal"/>
      <w:pStyle w:val="185"/>
      <w:suff w:val="nothing"/>
      <w:lvlText w:val="%10.%2.%3 "/>
      <w:lvlJc w:val="left"/>
      <w:pPr>
        <w:ind w:left="0" w:firstLine="0"/>
      </w:pPr>
      <w:rPr>
        <w:rFonts w:hint="eastAsia" w:ascii="黑体" w:hAnsi="黑体" w:eastAsia="黑体"/>
        <w:b w:val="0"/>
        <w:i w:val="0"/>
        <w:sz w:val="21"/>
      </w:rPr>
    </w:lvl>
    <w:lvl w:ilvl="3" w:tentative="0">
      <w:start w:val="1"/>
      <w:numFmt w:val="decimal"/>
      <w:pStyle w:val="186"/>
      <w:suff w:val="nothing"/>
      <w:lvlText w:val="%10.%2.%3.%4 "/>
      <w:lvlJc w:val="left"/>
      <w:pPr>
        <w:ind w:left="0" w:firstLine="0"/>
      </w:pPr>
      <w:rPr>
        <w:rFonts w:hint="eastAsia" w:ascii="黑体" w:hAnsi="黑体" w:eastAsia="黑体"/>
        <w:b w:val="0"/>
        <w:i w:val="0"/>
        <w:sz w:val="21"/>
      </w:rPr>
    </w:lvl>
    <w:lvl w:ilvl="4" w:tentative="0">
      <w:start w:val="1"/>
      <w:numFmt w:val="decimal"/>
      <w:pStyle w:val="187"/>
      <w:suff w:val="nothing"/>
      <w:lvlText w:val="%10.%2.%3.%4.%5 "/>
      <w:lvlJc w:val="left"/>
      <w:pPr>
        <w:ind w:left="0" w:firstLine="0"/>
      </w:pPr>
      <w:rPr>
        <w:rFonts w:hint="eastAsia" w:ascii="黑体" w:hAnsi="黑体" w:eastAsia="黑体"/>
        <w:b w:val="0"/>
        <w:i w:val="0"/>
        <w:sz w:val="21"/>
      </w:rPr>
    </w:lvl>
    <w:lvl w:ilvl="5" w:tentative="0">
      <w:start w:val="1"/>
      <w:numFmt w:val="decimal"/>
      <w:pStyle w:val="188"/>
      <w:suff w:val="nothing"/>
      <w:lvlText w:val="%10.%2.%3.%4.%5.%6 "/>
      <w:lvlJc w:val="left"/>
      <w:pPr>
        <w:ind w:left="0" w:firstLine="0"/>
      </w:pPr>
      <w:rPr>
        <w:rFonts w:hint="eastAsia" w:ascii="黑体" w:hAnsi="黑体" w:eastAsia="黑体"/>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9">
    <w:nsid w:val="76933334"/>
    <w:multiLevelType w:val="multilevel"/>
    <w:tmpl w:val="76933334"/>
    <w:lvl w:ilvl="0" w:tentative="0">
      <w:start w:val="1"/>
      <w:numFmt w:val="none"/>
      <w:pStyle w:val="124"/>
      <w:lvlText w:val="%1——"/>
      <w:lvlJc w:val="left"/>
      <w:pPr>
        <w:ind w:left="948"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78E9B980"/>
    <w:multiLevelType w:val="multilevel"/>
    <w:tmpl w:val="78E9B980"/>
    <w:lvl w:ilvl="0" w:tentative="0">
      <w:start w:val="1"/>
      <w:numFmt w:val="none"/>
      <w:pStyle w:val="117"/>
      <w:lvlText w:val="%1——"/>
      <w:lvlJc w:val="left"/>
      <w:pPr>
        <w:ind w:left="851" w:hanging="426"/>
      </w:pPr>
      <w:rPr>
        <w:rFonts w:hint="eastAsia" w:ascii="宋体" w:hAnsi="宋体" w:eastAsia="宋体"/>
        <w:b w:val="0"/>
        <w:i w:val="0"/>
        <w:sz w:val="21"/>
      </w:rPr>
    </w:lvl>
    <w:lvl w:ilvl="1" w:tentative="0">
      <w:start w:val="1"/>
      <w:numFmt w:val="none"/>
      <w:pStyle w:val="171"/>
      <w:lvlText w:val=""/>
      <w:lvlJc w:val="left"/>
      <w:pPr>
        <w:ind w:left="851" w:hanging="431"/>
      </w:pPr>
      <w:rPr>
        <w:rFonts w:hint="default" w:ascii="Symbol" w:hAnsi="Symbol"/>
        <w:sz w:val="21"/>
      </w:rPr>
    </w:lvl>
    <w:lvl w:ilvl="2" w:tentative="0">
      <w:start w:val="1"/>
      <w:numFmt w:val="bullet"/>
      <w:pStyle w:val="157"/>
      <w:lvlText w:val=""/>
      <w:lvlJc w:val="left"/>
      <w:pPr>
        <w:ind w:left="851" w:hanging="426"/>
      </w:pPr>
      <w:rPr>
        <w:rFonts w:hint="default" w:ascii="Wingdings" w:hAnsi="Wingdings"/>
        <w:sz w:val="21"/>
      </w:rPr>
    </w:lvl>
    <w:lvl w:ilvl="3" w:tentative="0">
      <w:start w:val="1"/>
      <w:numFmt w:val="decimal"/>
      <w:lvlText w:val="%4."/>
      <w:lvlJc w:val="left"/>
      <w:pPr>
        <w:ind w:left="1884" w:hanging="528"/>
      </w:pPr>
      <w:rPr>
        <w:rFonts w:hint="eastAsia"/>
      </w:rPr>
    </w:lvl>
    <w:lvl w:ilvl="4" w:tentative="0">
      <w:start w:val="1"/>
      <w:numFmt w:val="lowerLetter"/>
      <w:lvlText w:val="%5)"/>
      <w:lvlJc w:val="left"/>
      <w:pPr>
        <w:ind w:left="2196" w:hanging="528"/>
      </w:pPr>
      <w:rPr>
        <w:rFonts w:hint="eastAsia"/>
      </w:rPr>
    </w:lvl>
    <w:lvl w:ilvl="5" w:tentative="0">
      <w:start w:val="1"/>
      <w:numFmt w:val="lowerRoman"/>
      <w:lvlText w:val="%6."/>
      <w:lvlJc w:val="right"/>
      <w:pPr>
        <w:ind w:left="2508" w:hanging="528"/>
      </w:pPr>
      <w:rPr>
        <w:rFonts w:hint="eastAsia"/>
      </w:rPr>
    </w:lvl>
    <w:lvl w:ilvl="6" w:tentative="0">
      <w:start w:val="1"/>
      <w:numFmt w:val="decimal"/>
      <w:lvlText w:val="%7."/>
      <w:lvlJc w:val="left"/>
      <w:pPr>
        <w:ind w:left="2820" w:hanging="528"/>
      </w:pPr>
      <w:rPr>
        <w:rFonts w:hint="eastAsia"/>
      </w:rPr>
    </w:lvl>
    <w:lvl w:ilvl="7" w:tentative="0">
      <w:start w:val="1"/>
      <w:numFmt w:val="lowerLetter"/>
      <w:lvlText w:val="%8)"/>
      <w:lvlJc w:val="left"/>
      <w:pPr>
        <w:ind w:left="3132" w:hanging="528"/>
      </w:pPr>
      <w:rPr>
        <w:rFonts w:hint="eastAsia"/>
      </w:rPr>
    </w:lvl>
    <w:lvl w:ilvl="8" w:tentative="0">
      <w:start w:val="1"/>
      <w:numFmt w:val="lowerRoman"/>
      <w:lvlText w:val="%9."/>
      <w:lvlJc w:val="right"/>
      <w:pPr>
        <w:ind w:left="3444" w:hanging="528"/>
      </w:pPr>
      <w:rPr>
        <w:rFonts w:hint="eastAsia"/>
      </w:rPr>
    </w:lvl>
  </w:abstractNum>
  <w:num w:numId="1">
    <w:abstractNumId w:val="3"/>
  </w:num>
  <w:num w:numId="2">
    <w:abstractNumId w:val="1"/>
  </w:num>
  <w:num w:numId="3">
    <w:abstractNumId w:val="7"/>
  </w:num>
  <w:num w:numId="4">
    <w:abstractNumId w:val="22"/>
  </w:num>
  <w:num w:numId="5">
    <w:abstractNumId w:val="20"/>
  </w:num>
  <w:num w:numId="6">
    <w:abstractNumId w:val="15"/>
  </w:num>
  <w:num w:numId="7">
    <w:abstractNumId w:val="9"/>
  </w:num>
  <w:num w:numId="8">
    <w:abstractNumId w:val="28"/>
  </w:num>
  <w:num w:numId="9">
    <w:abstractNumId w:val="10"/>
  </w:num>
  <w:num w:numId="10">
    <w:abstractNumId w:val="18"/>
  </w:num>
  <w:num w:numId="11">
    <w:abstractNumId w:val="23"/>
  </w:num>
  <w:num w:numId="12">
    <w:abstractNumId w:val="11"/>
  </w:num>
  <w:num w:numId="13">
    <w:abstractNumId w:val="13"/>
  </w:num>
  <w:num w:numId="14">
    <w:abstractNumId w:val="25"/>
  </w:num>
  <w:num w:numId="15">
    <w:abstractNumId w:val="12"/>
  </w:num>
  <w:num w:numId="16">
    <w:abstractNumId w:val="0"/>
  </w:num>
  <w:num w:numId="17">
    <w:abstractNumId w:val="19"/>
  </w:num>
  <w:num w:numId="18">
    <w:abstractNumId w:val="27"/>
  </w:num>
  <w:num w:numId="19">
    <w:abstractNumId w:val="17"/>
  </w:num>
  <w:num w:numId="20">
    <w:abstractNumId w:val="4"/>
  </w:num>
  <w:num w:numId="21">
    <w:abstractNumId w:val="30"/>
  </w:num>
  <w:num w:numId="22">
    <w:abstractNumId w:val="29"/>
  </w:num>
  <w:num w:numId="23">
    <w:abstractNumId w:val="21"/>
  </w:num>
  <w:num w:numId="24">
    <w:abstractNumId w:val="8"/>
  </w:num>
  <w:num w:numId="25">
    <w:abstractNumId w:val="24"/>
  </w:num>
  <w:num w:numId="26">
    <w:abstractNumId w:val="26"/>
  </w:num>
  <w:num w:numId="27">
    <w:abstractNumId w:val="5"/>
  </w:num>
  <w:num w:numId="28">
    <w:abstractNumId w:val="6"/>
  </w:num>
  <w:num w:numId="29">
    <w:abstractNumId w:val="16"/>
  </w:num>
  <w:num w:numId="30">
    <w:abstractNumId w:val="2"/>
  </w:num>
  <w:num w:numId="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0"/>
  <w:bordersDoNotSurroundFooter w:val="0"/>
  <w:documentProtection w:edit="forms" w:enforcement="0"/>
  <w:defaultTabStop w:val="420"/>
  <w:hyphenationZone w:val="360"/>
  <w:evenAndOddHeaders w:val="1"/>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4OWU5ZTQyZWYxMjVmZWE2ZGNkYjU3YzZmMzEyNmIifQ=="/>
  </w:docVars>
  <w:rsids>
    <w:rsidRoot w:val="00E303CA"/>
    <w:rsid w:val="00013DF6"/>
    <w:rsid w:val="000B448B"/>
    <w:rsid w:val="001420E1"/>
    <w:rsid w:val="0014371F"/>
    <w:rsid w:val="001461E1"/>
    <w:rsid w:val="00151B28"/>
    <w:rsid w:val="0016561D"/>
    <w:rsid w:val="00170651"/>
    <w:rsid w:val="00194361"/>
    <w:rsid w:val="001D420F"/>
    <w:rsid w:val="001E3582"/>
    <w:rsid w:val="002F7578"/>
    <w:rsid w:val="0034196A"/>
    <w:rsid w:val="0036593C"/>
    <w:rsid w:val="00397C1D"/>
    <w:rsid w:val="003A6489"/>
    <w:rsid w:val="003D2EB3"/>
    <w:rsid w:val="003F03EF"/>
    <w:rsid w:val="00404619"/>
    <w:rsid w:val="00445731"/>
    <w:rsid w:val="004466C4"/>
    <w:rsid w:val="004A4129"/>
    <w:rsid w:val="004C7958"/>
    <w:rsid w:val="004E79CA"/>
    <w:rsid w:val="005353F9"/>
    <w:rsid w:val="00535FF1"/>
    <w:rsid w:val="005467A3"/>
    <w:rsid w:val="00570219"/>
    <w:rsid w:val="00646875"/>
    <w:rsid w:val="006700AC"/>
    <w:rsid w:val="00672684"/>
    <w:rsid w:val="00686DDD"/>
    <w:rsid w:val="006A2E7F"/>
    <w:rsid w:val="00715CFD"/>
    <w:rsid w:val="00717476"/>
    <w:rsid w:val="00782F27"/>
    <w:rsid w:val="00786BEE"/>
    <w:rsid w:val="007B3BAC"/>
    <w:rsid w:val="008435A5"/>
    <w:rsid w:val="00862256"/>
    <w:rsid w:val="008D1A07"/>
    <w:rsid w:val="00923150"/>
    <w:rsid w:val="00974468"/>
    <w:rsid w:val="009773CD"/>
    <w:rsid w:val="0098239E"/>
    <w:rsid w:val="0098311C"/>
    <w:rsid w:val="009B2F0D"/>
    <w:rsid w:val="009B3982"/>
    <w:rsid w:val="00A31EE0"/>
    <w:rsid w:val="00A85DBD"/>
    <w:rsid w:val="00AB4B67"/>
    <w:rsid w:val="00B53AED"/>
    <w:rsid w:val="00BA33C3"/>
    <w:rsid w:val="00BB0501"/>
    <w:rsid w:val="00BB05E7"/>
    <w:rsid w:val="00BD55DE"/>
    <w:rsid w:val="00C02B84"/>
    <w:rsid w:val="00C11ABC"/>
    <w:rsid w:val="00C4154A"/>
    <w:rsid w:val="00CB03F5"/>
    <w:rsid w:val="00CB34FD"/>
    <w:rsid w:val="00D31779"/>
    <w:rsid w:val="00D65542"/>
    <w:rsid w:val="00DE0F3A"/>
    <w:rsid w:val="00DF5DD0"/>
    <w:rsid w:val="00E303CA"/>
    <w:rsid w:val="00E55E97"/>
    <w:rsid w:val="00E85657"/>
    <w:rsid w:val="00F1622C"/>
    <w:rsid w:val="00F20CF6"/>
    <w:rsid w:val="00F40BC2"/>
    <w:rsid w:val="00F83A28"/>
    <w:rsid w:val="019E4ED3"/>
    <w:rsid w:val="02520AB1"/>
    <w:rsid w:val="02532161"/>
    <w:rsid w:val="03103BAE"/>
    <w:rsid w:val="03824AAC"/>
    <w:rsid w:val="03CF75C5"/>
    <w:rsid w:val="054B35C3"/>
    <w:rsid w:val="05833444"/>
    <w:rsid w:val="05A51C82"/>
    <w:rsid w:val="05AB7BBE"/>
    <w:rsid w:val="0708241B"/>
    <w:rsid w:val="07660241"/>
    <w:rsid w:val="077C5CB6"/>
    <w:rsid w:val="078E1545"/>
    <w:rsid w:val="08193505"/>
    <w:rsid w:val="0898267C"/>
    <w:rsid w:val="08BC0A60"/>
    <w:rsid w:val="0955668A"/>
    <w:rsid w:val="0AA3053D"/>
    <w:rsid w:val="0AE777C6"/>
    <w:rsid w:val="0B5605CC"/>
    <w:rsid w:val="0C2E598F"/>
    <w:rsid w:val="0CC324A4"/>
    <w:rsid w:val="0D0C188A"/>
    <w:rsid w:val="0D115EAE"/>
    <w:rsid w:val="0D611A1E"/>
    <w:rsid w:val="0D9D2AA8"/>
    <w:rsid w:val="0EB6385C"/>
    <w:rsid w:val="0EF649D5"/>
    <w:rsid w:val="0EFE5203"/>
    <w:rsid w:val="10E02E12"/>
    <w:rsid w:val="11CE710E"/>
    <w:rsid w:val="11F528ED"/>
    <w:rsid w:val="11F8418B"/>
    <w:rsid w:val="125E028E"/>
    <w:rsid w:val="13873A19"/>
    <w:rsid w:val="13F54E26"/>
    <w:rsid w:val="146B527B"/>
    <w:rsid w:val="1525798D"/>
    <w:rsid w:val="15CF0F3E"/>
    <w:rsid w:val="15D56E4C"/>
    <w:rsid w:val="16832BBD"/>
    <w:rsid w:val="17057BF5"/>
    <w:rsid w:val="19406B43"/>
    <w:rsid w:val="197467ED"/>
    <w:rsid w:val="19A7784D"/>
    <w:rsid w:val="1A46472D"/>
    <w:rsid w:val="1B8003C8"/>
    <w:rsid w:val="1BB44027"/>
    <w:rsid w:val="1C8A6328"/>
    <w:rsid w:val="1CD04682"/>
    <w:rsid w:val="1D0E6642"/>
    <w:rsid w:val="1E4C0B50"/>
    <w:rsid w:val="1ECE03E2"/>
    <w:rsid w:val="1F026649"/>
    <w:rsid w:val="1F19353B"/>
    <w:rsid w:val="20511636"/>
    <w:rsid w:val="212A1E87"/>
    <w:rsid w:val="2136082C"/>
    <w:rsid w:val="22D24584"/>
    <w:rsid w:val="231177A3"/>
    <w:rsid w:val="23205778"/>
    <w:rsid w:val="239A4F47"/>
    <w:rsid w:val="25C12DBA"/>
    <w:rsid w:val="262B46D7"/>
    <w:rsid w:val="265579A6"/>
    <w:rsid w:val="273852FE"/>
    <w:rsid w:val="27411D21"/>
    <w:rsid w:val="27BE4FA4"/>
    <w:rsid w:val="28620159"/>
    <w:rsid w:val="290851A4"/>
    <w:rsid w:val="2953641F"/>
    <w:rsid w:val="2AC23F42"/>
    <w:rsid w:val="2ADC4104"/>
    <w:rsid w:val="2B4F70BA"/>
    <w:rsid w:val="2C6841B1"/>
    <w:rsid w:val="2D037E50"/>
    <w:rsid w:val="2D4367AA"/>
    <w:rsid w:val="2D6B7AAF"/>
    <w:rsid w:val="2D8A262B"/>
    <w:rsid w:val="2ED25F9A"/>
    <w:rsid w:val="2F10090E"/>
    <w:rsid w:val="2F7C038A"/>
    <w:rsid w:val="30466CDD"/>
    <w:rsid w:val="30A60A3C"/>
    <w:rsid w:val="30B507B4"/>
    <w:rsid w:val="31102E48"/>
    <w:rsid w:val="31F462C5"/>
    <w:rsid w:val="32E20BB2"/>
    <w:rsid w:val="339064C2"/>
    <w:rsid w:val="33A93260"/>
    <w:rsid w:val="34AC06CC"/>
    <w:rsid w:val="34C401D1"/>
    <w:rsid w:val="34D66156"/>
    <w:rsid w:val="34F878FE"/>
    <w:rsid w:val="3641556B"/>
    <w:rsid w:val="366F23BE"/>
    <w:rsid w:val="37CE1367"/>
    <w:rsid w:val="3814146F"/>
    <w:rsid w:val="390019F4"/>
    <w:rsid w:val="39761CB6"/>
    <w:rsid w:val="3A1A4D37"/>
    <w:rsid w:val="3A974089"/>
    <w:rsid w:val="3B070E17"/>
    <w:rsid w:val="3BC52C1E"/>
    <w:rsid w:val="3BDF14CC"/>
    <w:rsid w:val="3BEA5738"/>
    <w:rsid w:val="3CB01F2D"/>
    <w:rsid w:val="3CFB0E50"/>
    <w:rsid w:val="3D31661F"/>
    <w:rsid w:val="3D891FB8"/>
    <w:rsid w:val="3E4D7489"/>
    <w:rsid w:val="3EE71542"/>
    <w:rsid w:val="3F186DAC"/>
    <w:rsid w:val="3F4A5777"/>
    <w:rsid w:val="3FC27A03"/>
    <w:rsid w:val="400A15E6"/>
    <w:rsid w:val="41AA074E"/>
    <w:rsid w:val="42320077"/>
    <w:rsid w:val="429F227D"/>
    <w:rsid w:val="445A2900"/>
    <w:rsid w:val="45482758"/>
    <w:rsid w:val="46236D21"/>
    <w:rsid w:val="47153174"/>
    <w:rsid w:val="478D7A9D"/>
    <w:rsid w:val="47AF4D11"/>
    <w:rsid w:val="48BF2D31"/>
    <w:rsid w:val="48F81653"/>
    <w:rsid w:val="490A57F3"/>
    <w:rsid w:val="49755AE6"/>
    <w:rsid w:val="498E6BA8"/>
    <w:rsid w:val="499046CE"/>
    <w:rsid w:val="4A3320EB"/>
    <w:rsid w:val="4A8A736F"/>
    <w:rsid w:val="4C004ED3"/>
    <w:rsid w:val="4C0B44E0"/>
    <w:rsid w:val="4CA8761C"/>
    <w:rsid w:val="4CF93156"/>
    <w:rsid w:val="4D2E0486"/>
    <w:rsid w:val="4D573E80"/>
    <w:rsid w:val="4D7E5B92"/>
    <w:rsid w:val="4DD8401E"/>
    <w:rsid w:val="4EC84C2B"/>
    <w:rsid w:val="4F5F701C"/>
    <w:rsid w:val="4F701229"/>
    <w:rsid w:val="4FC96B8B"/>
    <w:rsid w:val="4FF359B6"/>
    <w:rsid w:val="501C6CBB"/>
    <w:rsid w:val="50601A18"/>
    <w:rsid w:val="519311FF"/>
    <w:rsid w:val="519D45FF"/>
    <w:rsid w:val="52140128"/>
    <w:rsid w:val="52590311"/>
    <w:rsid w:val="53193986"/>
    <w:rsid w:val="539B439B"/>
    <w:rsid w:val="53DF697E"/>
    <w:rsid w:val="54640C31"/>
    <w:rsid w:val="54F40207"/>
    <w:rsid w:val="55E24503"/>
    <w:rsid w:val="56AD68BF"/>
    <w:rsid w:val="575B27BF"/>
    <w:rsid w:val="580B5F93"/>
    <w:rsid w:val="58242BB1"/>
    <w:rsid w:val="58492617"/>
    <w:rsid w:val="58975A79"/>
    <w:rsid w:val="5A056A12"/>
    <w:rsid w:val="5A8E07B6"/>
    <w:rsid w:val="5AA93841"/>
    <w:rsid w:val="5BE508A9"/>
    <w:rsid w:val="5C8F4507"/>
    <w:rsid w:val="5D225ADD"/>
    <w:rsid w:val="5D6052E4"/>
    <w:rsid w:val="5DD5494D"/>
    <w:rsid w:val="5E211941"/>
    <w:rsid w:val="5E761C8C"/>
    <w:rsid w:val="5FEF0EE3"/>
    <w:rsid w:val="5FF70D94"/>
    <w:rsid w:val="60191547"/>
    <w:rsid w:val="614B1378"/>
    <w:rsid w:val="61907509"/>
    <w:rsid w:val="65AB4911"/>
    <w:rsid w:val="6791267E"/>
    <w:rsid w:val="67AD4CC6"/>
    <w:rsid w:val="681C1992"/>
    <w:rsid w:val="68EC771B"/>
    <w:rsid w:val="696848C8"/>
    <w:rsid w:val="69C441F4"/>
    <w:rsid w:val="69F61ED3"/>
    <w:rsid w:val="6ABC05AD"/>
    <w:rsid w:val="6B453112"/>
    <w:rsid w:val="6B8C0D18"/>
    <w:rsid w:val="6C6C0AED"/>
    <w:rsid w:val="6CD41B88"/>
    <w:rsid w:val="6CEC2069"/>
    <w:rsid w:val="6CEF77DA"/>
    <w:rsid w:val="70CC398E"/>
    <w:rsid w:val="71D234CA"/>
    <w:rsid w:val="727918F3"/>
    <w:rsid w:val="72BF7C4E"/>
    <w:rsid w:val="72D059B7"/>
    <w:rsid w:val="737427E7"/>
    <w:rsid w:val="73C53AC8"/>
    <w:rsid w:val="741D54CD"/>
    <w:rsid w:val="746E5488"/>
    <w:rsid w:val="74C7103C"/>
    <w:rsid w:val="75046D6E"/>
    <w:rsid w:val="75311864"/>
    <w:rsid w:val="76A333E3"/>
    <w:rsid w:val="79442C5B"/>
    <w:rsid w:val="79892D64"/>
    <w:rsid w:val="7A546340"/>
    <w:rsid w:val="7A741520"/>
    <w:rsid w:val="7ABC0BFB"/>
    <w:rsid w:val="7B946A57"/>
    <w:rsid w:val="7CF6426C"/>
    <w:rsid w:val="7D095941"/>
    <w:rsid w:val="7D747887"/>
    <w:rsid w:val="7DA54F9E"/>
    <w:rsid w:val="7DE1494D"/>
    <w:rsid w:val="7E8678A1"/>
    <w:rsid w:val="7EDE320A"/>
    <w:rsid w:val="7F6F030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39" w:semiHidden="0" w:name="Table Grid"/>
    <w:lsdException w:uiPriority="99" w:name="Table Theme"/>
    <w:lsdException w:qFormat="1" w:unhideWhenUsed="0" w:uiPriority="0"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paragraph" w:styleId="5">
    <w:name w:val="heading 4"/>
    <w:basedOn w:val="1"/>
    <w:next w:val="1"/>
    <w:qFormat/>
    <w:uiPriority w:val="0"/>
    <w:pPr>
      <w:keepNext/>
      <w:keepLines/>
      <w:spacing w:before="280" w:after="290" w:line="377" w:lineRule="auto"/>
      <w:outlineLvl w:val="3"/>
    </w:pPr>
    <w:rPr>
      <w:rFonts w:ascii="Arial" w:hAnsi="Arial" w:eastAsia="黑体"/>
      <w:b/>
      <w:bCs/>
      <w:sz w:val="28"/>
      <w:szCs w:val="28"/>
    </w:rPr>
  </w:style>
  <w:style w:type="paragraph" w:styleId="6">
    <w:name w:val="heading 5"/>
    <w:basedOn w:val="1"/>
    <w:next w:val="1"/>
    <w:qFormat/>
    <w:uiPriority w:val="0"/>
    <w:pPr>
      <w:keepNext/>
      <w:keepLines/>
      <w:adjustRightInd/>
      <w:spacing w:before="280" w:after="290" w:line="377" w:lineRule="auto"/>
      <w:outlineLvl w:val="4"/>
    </w:pPr>
    <w:rPr>
      <w:b/>
      <w:bCs/>
      <w:sz w:val="28"/>
      <w:szCs w:val="28"/>
    </w:rPr>
  </w:style>
  <w:style w:type="paragraph" w:styleId="7">
    <w:name w:val="heading 6"/>
    <w:basedOn w:val="1"/>
    <w:next w:val="1"/>
    <w:qFormat/>
    <w:uiPriority w:val="0"/>
    <w:pPr>
      <w:keepNext/>
      <w:keepLines/>
      <w:adjustRightInd/>
      <w:spacing w:before="240" w:after="64" w:line="319" w:lineRule="auto"/>
      <w:outlineLvl w:val="5"/>
    </w:pPr>
    <w:rPr>
      <w:rFonts w:ascii="Arial" w:hAnsi="Arial" w:eastAsia="黑体"/>
      <w:b/>
      <w:bCs/>
      <w:sz w:val="24"/>
      <w:szCs w:val="24"/>
    </w:rPr>
  </w:style>
  <w:style w:type="paragraph" w:styleId="8">
    <w:name w:val="heading 7"/>
    <w:basedOn w:val="1"/>
    <w:next w:val="1"/>
    <w:qFormat/>
    <w:uiPriority w:val="0"/>
    <w:pPr>
      <w:keepNext/>
      <w:keepLines/>
      <w:adjustRightInd/>
      <w:spacing w:before="240" w:after="64" w:line="319" w:lineRule="auto"/>
      <w:outlineLvl w:val="6"/>
    </w:pPr>
    <w:rPr>
      <w:b/>
      <w:bCs/>
      <w:sz w:val="24"/>
      <w:szCs w:val="24"/>
    </w:rPr>
  </w:style>
  <w:style w:type="paragraph" w:styleId="9">
    <w:name w:val="heading 8"/>
    <w:basedOn w:val="1"/>
    <w:next w:val="1"/>
    <w:qFormat/>
    <w:uiPriority w:val="0"/>
    <w:pPr>
      <w:keepNext/>
      <w:keepLines/>
      <w:adjustRightInd/>
      <w:spacing w:before="240" w:after="64" w:line="319" w:lineRule="auto"/>
      <w:outlineLvl w:val="7"/>
    </w:pPr>
    <w:rPr>
      <w:rFonts w:ascii="Arial" w:hAnsi="Arial" w:eastAsia="黑体"/>
      <w:sz w:val="24"/>
      <w:szCs w:val="24"/>
    </w:rPr>
  </w:style>
  <w:style w:type="paragraph" w:styleId="10">
    <w:name w:val="heading 9"/>
    <w:basedOn w:val="1"/>
    <w:next w:val="1"/>
    <w:qFormat/>
    <w:uiPriority w:val="0"/>
    <w:pPr>
      <w:keepNext/>
      <w:keepLines/>
      <w:adjustRightInd/>
      <w:spacing w:before="240" w:after="64" w:line="319" w:lineRule="auto"/>
      <w:outlineLvl w:val="8"/>
    </w:pPr>
    <w:rPr>
      <w:rFonts w:ascii="Arial" w:hAnsi="Arial" w:eastAsia="黑体"/>
    </w:rPr>
  </w:style>
  <w:style w:type="character" w:default="1" w:styleId="29">
    <w:name w:val="Default Paragraph Font"/>
    <w:unhideWhenUsed/>
    <w:qFormat/>
    <w:uiPriority w:val="1"/>
  </w:style>
  <w:style w:type="table" w:default="1" w:styleId="28">
    <w:name w:val="Normal Table"/>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qFormat/>
    <w:uiPriority w:val="0"/>
    <w:pPr>
      <w:jc w:val="left"/>
    </w:pPr>
  </w:style>
  <w:style w:type="paragraph" w:styleId="14">
    <w:name w:val="Body Text"/>
    <w:basedOn w:val="1"/>
    <w:qFormat/>
    <w:uiPriority w:val="0"/>
    <w:pPr>
      <w:spacing w:after="120"/>
    </w:pPr>
  </w:style>
  <w:style w:type="paragraph" w:styleId="15">
    <w:name w:val="toc 5"/>
    <w:basedOn w:val="1"/>
    <w:next w:val="1"/>
    <w:qFormat/>
    <w:uiPriority w:val="0"/>
    <w:pPr>
      <w:ind w:left="839"/>
    </w:pPr>
    <w:rPr>
      <w:rFonts w:ascii="宋体"/>
    </w:rPr>
  </w:style>
  <w:style w:type="paragraph" w:styleId="16">
    <w:name w:val="toc 3"/>
    <w:basedOn w:val="1"/>
    <w:next w:val="1"/>
    <w:qFormat/>
    <w:uiPriority w:val="39"/>
    <w:pPr>
      <w:spacing w:line="300" w:lineRule="exact"/>
      <w:ind w:left="420"/>
    </w:pPr>
    <w:rPr>
      <w:rFonts w:ascii="宋体"/>
    </w:rPr>
  </w:style>
  <w:style w:type="paragraph" w:styleId="17">
    <w:name w:val="Balloon Text"/>
    <w:basedOn w:val="1"/>
    <w:qFormat/>
    <w:uiPriority w:val="0"/>
    <w:rPr>
      <w:sz w:val="18"/>
      <w:szCs w:val="18"/>
    </w:rPr>
  </w:style>
  <w:style w:type="paragraph" w:styleId="18">
    <w:name w:val="footer"/>
    <w:basedOn w:val="1"/>
    <w:qFormat/>
    <w:uiPriority w:val="0"/>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qFormat/>
    <w:uiPriority w:val="0"/>
    <w:pPr>
      <w:tabs>
        <w:tab w:val="center" w:pos="4153"/>
        <w:tab w:val="right" w:pos="8306"/>
      </w:tabs>
      <w:adjustRightInd/>
      <w:snapToGrid w:val="0"/>
      <w:jc w:val="center"/>
    </w:pPr>
    <w:rPr>
      <w:sz w:val="18"/>
      <w:szCs w:val="18"/>
    </w:rPr>
  </w:style>
  <w:style w:type="paragraph" w:styleId="20">
    <w:name w:val="toc 1"/>
    <w:basedOn w:val="1"/>
    <w:next w:val="1"/>
    <w:qFormat/>
    <w:uiPriority w:val="39"/>
    <w:rPr>
      <w:rFonts w:ascii="宋体"/>
    </w:rPr>
  </w:style>
  <w:style w:type="paragraph" w:styleId="21">
    <w:name w:val="toc 4"/>
    <w:basedOn w:val="1"/>
    <w:next w:val="1"/>
    <w:qFormat/>
    <w:uiPriority w:val="0"/>
    <w:pPr>
      <w:tabs>
        <w:tab w:val="right" w:leader="dot" w:pos="9344"/>
      </w:tabs>
      <w:spacing w:line="300" w:lineRule="exact"/>
      <w:ind w:left="629"/>
    </w:pPr>
    <w:rPr>
      <w:rFonts w:ascii="宋体"/>
    </w:rPr>
  </w:style>
  <w:style w:type="paragraph" w:styleId="22">
    <w:name w:val="footnote text"/>
    <w:basedOn w:val="1"/>
    <w:next w:val="1"/>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qFormat/>
    <w:uiPriority w:val="0"/>
    <w:pPr>
      <w:spacing w:line="300" w:lineRule="exact"/>
      <w:ind w:left="1049"/>
    </w:pPr>
    <w:rPr>
      <w:rFonts w:ascii="宋体"/>
    </w:rPr>
  </w:style>
  <w:style w:type="paragraph" w:styleId="24">
    <w:name w:val="table of figures"/>
    <w:basedOn w:val="1"/>
    <w:next w:val="1"/>
    <w:qFormat/>
    <w:uiPriority w:val="0"/>
    <w:pPr>
      <w:adjustRightInd/>
      <w:spacing w:line="240" w:lineRule="auto"/>
      <w:jc w:val="left"/>
    </w:pPr>
    <w:rPr>
      <w:szCs w:val="24"/>
    </w:rPr>
  </w:style>
  <w:style w:type="paragraph" w:styleId="25">
    <w:name w:val="toc 2"/>
    <w:basedOn w:val="1"/>
    <w:next w:val="1"/>
    <w:qFormat/>
    <w:uiPriority w:val="39"/>
    <w:pPr>
      <w:tabs>
        <w:tab w:val="right" w:leader="dot" w:pos="9344"/>
      </w:tabs>
      <w:spacing w:line="300" w:lineRule="exact"/>
      <w:ind w:left="210"/>
    </w:pPr>
    <w:rPr>
      <w:rFonts w:ascii="宋体"/>
    </w:rPr>
  </w:style>
  <w:style w:type="paragraph" w:styleId="26">
    <w:name w:val="Title"/>
    <w:basedOn w:val="1"/>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qFormat/>
    <w:uiPriority w:val="0"/>
    <w:rPr>
      <w:b/>
    </w:rPr>
  </w:style>
  <w:style w:type="character" w:styleId="30">
    <w:name w:val="Strong"/>
    <w:qFormat/>
    <w:uiPriority w:val="0"/>
    <w:rPr>
      <w:b/>
      <w:bCs/>
    </w:rPr>
  </w:style>
  <w:style w:type="character" w:styleId="31">
    <w:name w:val="page number"/>
    <w:qFormat/>
    <w:uiPriority w:val="0"/>
    <w:rPr>
      <w:rFonts w:ascii="宋体" w:eastAsia="宋体"/>
      <w:sz w:val="18"/>
    </w:rPr>
  </w:style>
  <w:style w:type="character" w:styleId="32">
    <w:name w:val="Emphasis"/>
    <w:qFormat/>
    <w:uiPriority w:val="0"/>
    <w:rPr>
      <w:i/>
      <w:iCs/>
    </w:rPr>
  </w:style>
  <w:style w:type="character" w:styleId="33">
    <w:name w:val="Hyperlink"/>
    <w:qFormat/>
    <w:uiPriority w:val="99"/>
    <w:rPr>
      <w:rFonts w:ascii="宋体" w:eastAsia="宋体"/>
      <w:color w:val="auto"/>
      <w:spacing w:val="0"/>
      <w:w w:val="100"/>
      <w:position w:val="0"/>
      <w:sz w:val="21"/>
      <w:u w:val="none"/>
      <w:vertAlign w:val="baseline"/>
    </w:rPr>
  </w:style>
  <w:style w:type="character" w:styleId="34">
    <w:name w:val="footnote reference"/>
    <w:qFormat/>
    <w:uiPriority w:val="0"/>
    <w:rPr>
      <w:rFonts w:ascii="宋体" w:eastAsia="宋体" w:cs="Times New Roman"/>
      <w:spacing w:val="0"/>
      <w:sz w:val="18"/>
      <w:vertAlign w:val="superscript"/>
    </w:rPr>
  </w:style>
  <w:style w:type="paragraph" w:styleId="35">
    <w:name w:val="Quote"/>
    <w:basedOn w:val="1"/>
    <w:next w:val="1"/>
    <w:qFormat/>
    <w:uiPriority w:val="0"/>
    <w:rPr>
      <w:i/>
      <w:iCs/>
      <w:color w:val="000000"/>
    </w:rPr>
  </w:style>
  <w:style w:type="paragraph" w:customStyle="1" w:styleId="36">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37">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38">
    <w:name w:val="标准文件_页脚偶数页"/>
    <w:qFormat/>
    <w:uiPriority w:val="0"/>
    <w:pPr>
      <w:ind w:left="227"/>
    </w:pPr>
    <w:rPr>
      <w:rFonts w:ascii="宋体" w:hAnsi="Times New Roman" w:eastAsia="宋体" w:cs="Times New Roman"/>
      <w:sz w:val="18"/>
      <w:lang w:val="en-US" w:eastAsia="zh-CN" w:bidi="ar-SA"/>
    </w:rPr>
  </w:style>
  <w:style w:type="paragraph" w:customStyle="1" w:styleId="39">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40">
    <w:name w:val="标准书眉一"/>
    <w:qFormat/>
    <w:uiPriority w:val="0"/>
    <w:pPr>
      <w:jc w:val="both"/>
    </w:pPr>
    <w:rPr>
      <w:rFonts w:ascii="Times New Roman" w:hAnsi="Times New Roman" w:eastAsia="宋体" w:cs="Times New Roman"/>
      <w:lang w:val="en-US" w:eastAsia="zh-CN" w:bidi="ar-SA"/>
    </w:rPr>
  </w:style>
  <w:style w:type="paragraph" w:customStyle="1" w:styleId="41">
    <w:name w:val="标准文件_ICS"/>
    <w:basedOn w:val="1"/>
    <w:qFormat/>
    <w:uiPriority w:val="0"/>
    <w:pPr>
      <w:spacing w:line="0" w:lineRule="atLeast"/>
    </w:pPr>
    <w:rPr>
      <w:rFonts w:ascii="黑体" w:eastAsia="黑体"/>
    </w:rPr>
  </w:style>
  <w:style w:type="paragraph" w:customStyle="1" w:styleId="42">
    <w:name w:val="标准文件_标准正文"/>
    <w:basedOn w:val="1"/>
    <w:next w:val="43"/>
    <w:qFormat/>
    <w:uiPriority w:val="0"/>
    <w:pPr>
      <w:snapToGrid w:val="0"/>
      <w:ind w:firstLine="200" w:firstLineChars="200"/>
    </w:pPr>
    <w:rPr>
      <w:kern w:val="0"/>
    </w:rPr>
  </w:style>
  <w:style w:type="paragraph" w:customStyle="1" w:styleId="4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4">
    <w:name w:val="标准文件_版本"/>
    <w:basedOn w:val="42"/>
    <w:qFormat/>
    <w:uiPriority w:val="0"/>
    <w:pPr>
      <w:adjustRightInd/>
      <w:snapToGrid/>
      <w:ind w:firstLine="0" w:firstLineChars="0"/>
    </w:pPr>
    <w:rPr>
      <w:rFonts w:ascii="宋体"/>
      <w:kern w:val="2"/>
    </w:rPr>
  </w:style>
  <w:style w:type="paragraph" w:customStyle="1" w:styleId="45">
    <w:name w:val="标准文件_标准部门"/>
    <w:basedOn w:val="1"/>
    <w:qFormat/>
    <w:uiPriority w:val="0"/>
    <w:pPr>
      <w:jc w:val="center"/>
    </w:pPr>
    <w:rPr>
      <w:rFonts w:ascii="黑体" w:eastAsia="黑体"/>
      <w:kern w:val="0"/>
      <w:sz w:val="44"/>
    </w:rPr>
  </w:style>
  <w:style w:type="paragraph" w:customStyle="1" w:styleId="46">
    <w:name w:val="标准文件_标准代替"/>
    <w:basedOn w:val="1"/>
    <w:next w:val="1"/>
    <w:qFormat/>
    <w:uiPriority w:val="0"/>
    <w:pPr>
      <w:spacing w:line="310" w:lineRule="exact"/>
      <w:jc w:val="right"/>
    </w:pPr>
    <w:rPr>
      <w:rFonts w:ascii="宋体"/>
      <w:kern w:val="0"/>
    </w:rPr>
  </w:style>
  <w:style w:type="paragraph" w:customStyle="1" w:styleId="47">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48">
    <w:name w:val="标准文件_页眉奇数页"/>
    <w:next w:val="1"/>
    <w:qFormat/>
    <w:uiPriority w:val="0"/>
    <w:pPr>
      <w:tabs>
        <w:tab w:val="center" w:pos="4154"/>
        <w:tab w:val="right" w:pos="8306"/>
      </w:tabs>
      <w:spacing w:after="120"/>
      <w:jc w:val="right"/>
    </w:pPr>
    <w:rPr>
      <w:rFonts w:ascii="黑体" w:hAnsi="Times New Roman" w:eastAsia="黑体" w:cs="Times New Roman"/>
      <w:sz w:val="21"/>
      <w:lang w:val="en-US" w:eastAsia="zh-CN" w:bidi="ar-SA"/>
    </w:rPr>
  </w:style>
  <w:style w:type="paragraph" w:customStyle="1" w:styleId="49">
    <w:name w:val="标准文件_页眉偶数页"/>
    <w:basedOn w:val="48"/>
    <w:next w:val="1"/>
    <w:qFormat/>
    <w:uiPriority w:val="0"/>
    <w:pPr>
      <w:jc w:val="left"/>
    </w:pPr>
  </w:style>
  <w:style w:type="paragraph" w:customStyle="1" w:styleId="50">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51">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52">
    <w:name w:val="标准文件_二级条标题"/>
    <w:next w:val="4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53">
    <w:name w:val="标准文件_发布"/>
    <w:qFormat/>
    <w:uiPriority w:val="0"/>
    <w:rPr>
      <w:rFonts w:ascii="黑体" w:eastAsia="黑体"/>
      <w:spacing w:val="0"/>
      <w:w w:val="100"/>
      <w:position w:val="3"/>
      <w:sz w:val="28"/>
    </w:rPr>
  </w:style>
  <w:style w:type="paragraph" w:customStyle="1" w:styleId="54">
    <w:name w:val="标准文件_方框数字列项"/>
    <w:basedOn w:val="43"/>
    <w:qFormat/>
    <w:uiPriority w:val="0"/>
    <w:pPr>
      <w:numPr>
        <w:ilvl w:val="0"/>
        <w:numId w:val="3"/>
      </w:numPr>
      <w:ind w:firstLine="0" w:firstLineChars="0"/>
    </w:pPr>
  </w:style>
  <w:style w:type="paragraph" w:customStyle="1" w:styleId="55">
    <w:name w:val="标准文件_封面标准编号"/>
    <w:basedOn w:val="1"/>
    <w:next w:val="46"/>
    <w:qFormat/>
    <w:uiPriority w:val="0"/>
    <w:pPr>
      <w:spacing w:line="310" w:lineRule="exact"/>
      <w:jc w:val="right"/>
    </w:pPr>
    <w:rPr>
      <w:rFonts w:ascii="黑体" w:eastAsia="黑体"/>
      <w:kern w:val="0"/>
      <w:sz w:val="28"/>
    </w:rPr>
  </w:style>
  <w:style w:type="paragraph" w:customStyle="1" w:styleId="56">
    <w:name w:val="标准文件_封面标准分类号"/>
    <w:basedOn w:val="1"/>
    <w:qFormat/>
    <w:uiPriority w:val="0"/>
    <w:rPr>
      <w:rFonts w:ascii="黑体" w:eastAsia="黑体"/>
      <w:b/>
      <w:kern w:val="0"/>
      <w:sz w:val="28"/>
    </w:rPr>
  </w:style>
  <w:style w:type="paragraph" w:customStyle="1" w:styleId="57">
    <w:name w:val="标准文件_封面标准名称"/>
    <w:basedOn w:val="1"/>
    <w:qFormat/>
    <w:uiPriority w:val="0"/>
    <w:pPr>
      <w:spacing w:line="240" w:lineRule="auto"/>
      <w:jc w:val="center"/>
    </w:pPr>
    <w:rPr>
      <w:rFonts w:ascii="黑体" w:eastAsia="黑体"/>
      <w:kern w:val="0"/>
      <w:sz w:val="52"/>
    </w:rPr>
  </w:style>
  <w:style w:type="paragraph" w:customStyle="1" w:styleId="58">
    <w:name w:val="标准文件_封面标准英文名称"/>
    <w:basedOn w:val="1"/>
    <w:qFormat/>
    <w:uiPriority w:val="0"/>
    <w:pPr>
      <w:spacing w:line="240" w:lineRule="auto"/>
      <w:jc w:val="center"/>
    </w:pPr>
    <w:rPr>
      <w:rFonts w:ascii="黑体" w:eastAsia="黑体"/>
      <w:b/>
      <w:sz w:val="28"/>
    </w:rPr>
  </w:style>
  <w:style w:type="paragraph" w:customStyle="1" w:styleId="59">
    <w:name w:val="标准文件_封面发布日期"/>
    <w:basedOn w:val="1"/>
    <w:qFormat/>
    <w:uiPriority w:val="0"/>
    <w:pPr>
      <w:spacing w:line="310" w:lineRule="exact"/>
    </w:pPr>
    <w:rPr>
      <w:rFonts w:ascii="黑体" w:eastAsia="黑体"/>
      <w:kern w:val="0"/>
      <w:sz w:val="28"/>
    </w:rPr>
  </w:style>
  <w:style w:type="paragraph" w:customStyle="1" w:styleId="60">
    <w:name w:val="标准文件_封面密级"/>
    <w:basedOn w:val="1"/>
    <w:qFormat/>
    <w:uiPriority w:val="0"/>
    <w:rPr>
      <w:rFonts w:eastAsia="黑体"/>
      <w:sz w:val="32"/>
    </w:rPr>
  </w:style>
  <w:style w:type="paragraph" w:customStyle="1" w:styleId="61">
    <w:name w:val="标准文件_封面实施日期"/>
    <w:basedOn w:val="1"/>
    <w:qFormat/>
    <w:uiPriority w:val="0"/>
    <w:pPr>
      <w:spacing w:line="310" w:lineRule="exact"/>
      <w:jc w:val="right"/>
    </w:pPr>
    <w:rPr>
      <w:rFonts w:ascii="黑体" w:eastAsia="黑体"/>
      <w:sz w:val="28"/>
    </w:rPr>
  </w:style>
  <w:style w:type="paragraph" w:customStyle="1" w:styleId="62">
    <w:name w:val="标准文件_封面抬头"/>
    <w:basedOn w:val="43"/>
    <w:qFormat/>
    <w:uiPriority w:val="0"/>
    <w:pPr>
      <w:adjustRightInd w:val="0"/>
      <w:spacing w:line="800" w:lineRule="exact"/>
      <w:ind w:firstLine="0" w:firstLineChars="0"/>
      <w:jc w:val="distribute"/>
    </w:pPr>
    <w:rPr>
      <w:rFonts w:ascii="黑体" w:eastAsia="黑体"/>
      <w:b/>
      <w:sz w:val="64"/>
    </w:rPr>
  </w:style>
  <w:style w:type="paragraph" w:customStyle="1" w:styleId="63">
    <w:name w:val="标准文件_附录标识"/>
    <w:next w:val="43"/>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64">
    <w:name w:val="标准文件_附录表标题"/>
    <w:next w:val="43"/>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65">
    <w:name w:val="标准文件_附录一级条标题"/>
    <w:next w:val="43"/>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66">
    <w:name w:val="标准文件_附录二级条标题"/>
    <w:basedOn w:val="65"/>
    <w:next w:val="43"/>
    <w:qFormat/>
    <w:uiPriority w:val="0"/>
    <w:pPr>
      <w:widowControl/>
      <w:numPr>
        <w:ilvl w:val="2"/>
      </w:numPr>
      <w:wordWrap w:val="0"/>
      <w:overflowPunct w:val="0"/>
      <w:autoSpaceDE w:val="0"/>
      <w:autoSpaceDN w:val="0"/>
      <w:textAlignment w:val="baseline"/>
      <w:outlineLvl w:val="3"/>
    </w:pPr>
  </w:style>
  <w:style w:type="paragraph" w:customStyle="1" w:styleId="67">
    <w:name w:val="标准文件_附录公式"/>
    <w:basedOn w:val="42"/>
    <w:next w:val="42"/>
    <w:qFormat/>
    <w:uiPriority w:val="0"/>
    <w:pPr>
      <w:tabs>
        <w:tab w:val="center" w:pos="4678"/>
        <w:tab w:val="right" w:leader="middleDot" w:pos="9356"/>
      </w:tabs>
      <w:spacing w:line="240" w:lineRule="auto"/>
      <w:ind w:right="-51" w:firstLine="0" w:firstLineChars="0"/>
    </w:pPr>
    <w:rPr>
      <w:rFonts w:ascii="宋体"/>
    </w:rPr>
  </w:style>
  <w:style w:type="paragraph" w:customStyle="1" w:styleId="68">
    <w:name w:val="标准文件_附录三级条标题"/>
    <w:next w:val="43"/>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69">
    <w:name w:val="标准文件_附录四级条标题"/>
    <w:next w:val="43"/>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70">
    <w:name w:val="标准文件_附录图标题"/>
    <w:next w:val="43"/>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71">
    <w:name w:val="标准文件_附录五级条标题"/>
    <w:next w:val="43"/>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72">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paragraph" w:customStyle="1" w:styleId="73">
    <w:name w:val="标准文件_附录章标题"/>
    <w:next w:val="43"/>
    <w:qFormat/>
    <w:uiPriority w:val="0"/>
    <w:pPr>
      <w:wordWrap w:val="0"/>
      <w:overflowPunct w:val="0"/>
      <w:autoSpaceDE w:val="0"/>
      <w:spacing w:before="50" w:beforeLines="50" w:after="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74">
    <w:name w:val="标准文件_公式后的破折号"/>
    <w:basedOn w:val="43"/>
    <w:next w:val="43"/>
    <w:qFormat/>
    <w:uiPriority w:val="0"/>
    <w:pPr>
      <w:ind w:left="490" w:leftChars="200" w:hanging="290" w:hangingChars="290"/>
    </w:pPr>
  </w:style>
  <w:style w:type="paragraph" w:customStyle="1" w:styleId="75">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76">
    <w:name w:val="标准文件_目次、标准名称标题"/>
    <w:basedOn w:val="75"/>
    <w:next w:val="43"/>
    <w:qFormat/>
    <w:uiPriority w:val="0"/>
    <w:pPr>
      <w:spacing w:line="460" w:lineRule="exact"/>
    </w:pPr>
  </w:style>
  <w:style w:type="paragraph" w:customStyle="1" w:styleId="77">
    <w:name w:val="标准文件_目录标题"/>
    <w:basedOn w:val="1"/>
    <w:qFormat/>
    <w:uiPriority w:val="0"/>
    <w:pPr>
      <w:spacing w:after="150" w:afterLines="150" w:line="240" w:lineRule="auto"/>
      <w:jc w:val="center"/>
    </w:pPr>
    <w:rPr>
      <w:rFonts w:ascii="黑体" w:eastAsia="黑体"/>
      <w:sz w:val="32"/>
    </w:rPr>
  </w:style>
  <w:style w:type="paragraph" w:customStyle="1" w:styleId="78">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79">
    <w:name w:val="标准文件_破折号列项（二级）"/>
    <w:basedOn w:val="78"/>
    <w:qFormat/>
    <w:uiPriority w:val="0"/>
    <w:pPr>
      <w:numPr>
        <w:numId w:val="10"/>
      </w:numPr>
      <w:ind w:left="0" w:firstLine="200" w:firstLineChars="0"/>
    </w:pPr>
  </w:style>
  <w:style w:type="paragraph" w:customStyle="1" w:styleId="80">
    <w:name w:val="标准文件_三级条标题"/>
    <w:next w:val="43"/>
    <w:qFormat/>
    <w:uiPriority w:val="0"/>
    <w:pPr>
      <w:numPr>
        <w:ilvl w:val="4"/>
        <w:numId w:val="2"/>
      </w:numPr>
      <w:spacing w:before="50" w:beforeLines="50" w:after="50" w:afterLines="50"/>
      <w:jc w:val="both"/>
      <w:outlineLvl w:val="3"/>
    </w:pPr>
    <w:rPr>
      <w:rFonts w:ascii="黑体" w:hAnsi="Times New Roman" w:eastAsia="黑体" w:cs="Times New Roman"/>
      <w:sz w:val="21"/>
      <w:lang w:val="en-US" w:eastAsia="zh-CN" w:bidi="ar-SA"/>
    </w:rPr>
  </w:style>
  <w:style w:type="character" w:customStyle="1" w:styleId="81">
    <w:name w:val="不明显参考1"/>
    <w:qFormat/>
    <w:uiPriority w:val="0"/>
    <w:rPr>
      <w:smallCaps/>
      <w:color w:val="C0504D"/>
      <w:u w:val="single"/>
    </w:rPr>
  </w:style>
  <w:style w:type="paragraph" w:customStyle="1" w:styleId="82">
    <w:name w:val="标准文件_示例后续"/>
    <w:basedOn w:val="1"/>
    <w:qFormat/>
    <w:uiPriority w:val="0"/>
    <w:pPr>
      <w:adjustRightInd/>
      <w:spacing w:line="240" w:lineRule="auto"/>
      <w:ind w:firstLine="200" w:firstLineChars="200"/>
    </w:pPr>
    <w:rPr>
      <w:sz w:val="18"/>
      <w:szCs w:val="24"/>
    </w:rPr>
  </w:style>
  <w:style w:type="paragraph" w:customStyle="1" w:styleId="83">
    <w:name w:val="标准文件_数字编号列项"/>
    <w:qFormat/>
    <w:uiPriority w:val="0"/>
    <w:pPr>
      <w:numPr>
        <w:ilvl w:val="0"/>
        <w:numId w:val="11"/>
      </w:numPr>
      <w:jc w:val="both"/>
    </w:pPr>
    <w:rPr>
      <w:rFonts w:ascii="宋体" w:hAnsi="Times New Roman" w:eastAsia="宋体" w:cs="Times New Roman"/>
      <w:sz w:val="21"/>
      <w:lang w:val="en-US" w:eastAsia="zh-CN" w:bidi="ar-SA"/>
    </w:rPr>
  </w:style>
  <w:style w:type="paragraph" w:customStyle="1" w:styleId="84">
    <w:name w:val="标准文件_四级条标题"/>
    <w:next w:val="43"/>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85">
    <w:name w:val="标准文件_条文脚注"/>
    <w:basedOn w:val="22"/>
    <w:qFormat/>
    <w:uiPriority w:val="0"/>
    <w:pPr>
      <w:adjustRightInd w:val="0"/>
      <w:spacing w:line="240" w:lineRule="auto"/>
      <w:ind w:left="0" w:leftChars="0" w:firstLine="200" w:firstLineChars="200"/>
      <w:jc w:val="both"/>
    </w:pPr>
  </w:style>
  <w:style w:type="paragraph" w:customStyle="1" w:styleId="86">
    <w:name w:val="标准文件_图表脚注"/>
    <w:basedOn w:val="1"/>
    <w:next w:val="43"/>
    <w:qFormat/>
    <w:uiPriority w:val="0"/>
    <w:pPr>
      <w:numPr>
        <w:ilvl w:val="0"/>
        <w:numId w:val="12"/>
      </w:numPr>
      <w:spacing w:line="240" w:lineRule="auto"/>
      <w:jc w:val="left"/>
    </w:pPr>
    <w:rPr>
      <w:rFonts w:ascii="宋体"/>
      <w:sz w:val="18"/>
    </w:rPr>
  </w:style>
  <w:style w:type="character" w:customStyle="1" w:styleId="87">
    <w:name w:val="标准文件_图表脚注内容"/>
    <w:qFormat/>
    <w:uiPriority w:val="0"/>
    <w:rPr>
      <w:rFonts w:ascii="宋体" w:eastAsia="宋体" w:cs="Times New Roman"/>
      <w:spacing w:val="0"/>
      <w:sz w:val="18"/>
      <w:vertAlign w:val="superscript"/>
    </w:rPr>
  </w:style>
  <w:style w:type="paragraph" w:customStyle="1" w:styleId="88">
    <w:name w:val="标准文件_五级条标题"/>
    <w:next w:val="43"/>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89">
    <w:name w:val="标准文件_章标题"/>
    <w:next w:val="4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90">
    <w:name w:val="标准文件_一级条标题"/>
    <w:basedOn w:val="89"/>
    <w:next w:val="43"/>
    <w:qFormat/>
    <w:uiPriority w:val="0"/>
    <w:pPr>
      <w:numPr>
        <w:ilvl w:val="2"/>
      </w:numPr>
      <w:spacing w:before="50" w:beforeLines="50" w:after="50" w:afterLines="50"/>
      <w:ind w:left="0"/>
      <w:outlineLvl w:val="1"/>
    </w:pPr>
  </w:style>
  <w:style w:type="paragraph" w:customStyle="1" w:styleId="91">
    <w:name w:val="标准文件_一致程度"/>
    <w:basedOn w:val="1"/>
    <w:qFormat/>
    <w:uiPriority w:val="0"/>
    <w:pPr>
      <w:spacing w:line="440" w:lineRule="exact"/>
      <w:jc w:val="center"/>
    </w:pPr>
    <w:rPr>
      <w:sz w:val="28"/>
    </w:rPr>
  </w:style>
  <w:style w:type="paragraph" w:customStyle="1" w:styleId="92">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93">
    <w:name w:val="标准文件_英文图表脚注"/>
    <w:basedOn w:val="42"/>
    <w:qFormat/>
    <w:uiPriority w:val="0"/>
    <w:pPr>
      <w:widowControl/>
      <w:adjustRightInd/>
      <w:snapToGrid/>
      <w:spacing w:line="240" w:lineRule="auto"/>
      <w:ind w:left="80" w:hanging="80" w:hangingChars="80"/>
    </w:pPr>
    <w:rPr>
      <w:rFonts w:ascii="宋体"/>
    </w:rPr>
  </w:style>
  <w:style w:type="paragraph" w:customStyle="1" w:styleId="94">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95">
    <w:name w:val="标准文件_英文注："/>
    <w:basedOn w:val="1"/>
    <w:next w:val="43"/>
    <w:qFormat/>
    <w:uiPriority w:val="0"/>
    <w:pPr>
      <w:numPr>
        <w:ilvl w:val="0"/>
        <w:numId w:val="14"/>
      </w:numPr>
      <w:tabs>
        <w:tab w:val="left" w:pos="420"/>
      </w:tabs>
      <w:autoSpaceDE w:val="0"/>
      <w:autoSpaceDN w:val="0"/>
      <w:spacing w:line="240" w:lineRule="auto"/>
    </w:pPr>
    <w:rPr>
      <w:rFonts w:ascii="宋体"/>
      <w:kern w:val="0"/>
      <w:sz w:val="18"/>
      <w:szCs w:val="20"/>
    </w:rPr>
  </w:style>
  <w:style w:type="paragraph" w:customStyle="1" w:styleId="96">
    <w:name w:val="标准文件_英文注×："/>
    <w:basedOn w:val="1"/>
    <w:qFormat/>
    <w:uiPriority w:val="0"/>
    <w:pPr>
      <w:numPr>
        <w:ilvl w:val="0"/>
        <w:numId w:val="15"/>
      </w:numPr>
      <w:tabs>
        <w:tab w:val="left" w:pos="210"/>
      </w:tabs>
      <w:autoSpaceDE w:val="0"/>
      <w:autoSpaceDN w:val="0"/>
      <w:spacing w:line="240" w:lineRule="auto"/>
    </w:pPr>
    <w:rPr>
      <w:rFonts w:ascii="宋体"/>
      <w:kern w:val="0"/>
      <w:szCs w:val="20"/>
    </w:rPr>
  </w:style>
  <w:style w:type="paragraph" w:customStyle="1" w:styleId="97">
    <w:name w:val="标准文件_正文表标题"/>
    <w:next w:val="43"/>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98">
    <w:name w:val="标准文件_正文公式"/>
    <w:basedOn w:val="1"/>
    <w:next w:val="42"/>
    <w:qFormat/>
    <w:uiPriority w:val="0"/>
    <w:pPr>
      <w:tabs>
        <w:tab w:val="center" w:pos="4678"/>
        <w:tab w:val="right" w:leader="middleDot" w:pos="9356"/>
      </w:tabs>
      <w:spacing w:line="240" w:lineRule="auto"/>
    </w:pPr>
    <w:rPr>
      <w:rFonts w:ascii="宋体"/>
    </w:rPr>
  </w:style>
  <w:style w:type="paragraph" w:customStyle="1" w:styleId="99">
    <w:name w:val="标准文件_正文图标题"/>
    <w:next w:val="43"/>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00">
    <w:name w:val="标准文件_正文英文表标题"/>
    <w:next w:val="43"/>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01">
    <w:name w:val="标准文件_正文英文图标题"/>
    <w:next w:val="43"/>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02">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03">
    <w:name w:val="二级无标题条"/>
    <w:basedOn w:val="1"/>
    <w:qFormat/>
    <w:uiPriority w:val="0"/>
    <w:pPr>
      <w:numPr>
        <w:ilvl w:val="3"/>
        <w:numId w:val="20"/>
      </w:numPr>
      <w:adjustRightInd/>
      <w:spacing w:line="240" w:lineRule="auto"/>
    </w:pPr>
    <w:rPr>
      <w:rFonts w:ascii="宋体"/>
      <w:szCs w:val="24"/>
    </w:rPr>
  </w:style>
  <w:style w:type="paragraph" w:customStyle="1" w:styleId="104">
    <w:name w:val="发布部门"/>
    <w:next w:val="43"/>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05">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06">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kern w:val="0"/>
      <w:szCs w:val="20"/>
    </w:rPr>
  </w:style>
  <w:style w:type="paragraph" w:customStyle="1" w:styleId="107">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08">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09">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10">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11">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12">
    <w:name w:val="封面正文"/>
    <w:qFormat/>
    <w:uiPriority w:val="0"/>
    <w:pPr>
      <w:jc w:val="both"/>
    </w:pPr>
    <w:rPr>
      <w:rFonts w:ascii="Times New Roman" w:hAnsi="Times New Roman" w:eastAsia="宋体" w:cs="Times New Roman"/>
      <w:lang w:val="en-US" w:eastAsia="zh-CN" w:bidi="ar-SA"/>
    </w:rPr>
  </w:style>
  <w:style w:type="paragraph" w:customStyle="1" w:styleId="113">
    <w:name w:val="附录二级无标题条"/>
    <w:basedOn w:val="1"/>
    <w:next w:val="43"/>
    <w:qFormat/>
    <w:uiPriority w:val="0"/>
    <w:pPr>
      <w:widowControl/>
      <w:wordWrap w:val="0"/>
      <w:overflowPunct w:val="0"/>
      <w:autoSpaceDE w:val="0"/>
      <w:autoSpaceDN w:val="0"/>
      <w:adjustRightInd/>
      <w:spacing w:line="240" w:lineRule="auto"/>
      <w:textAlignment w:val="baseline"/>
      <w:outlineLvl w:val="3"/>
    </w:pPr>
    <w:rPr>
      <w:rFonts w:ascii="宋体"/>
      <w:kern w:val="21"/>
    </w:rPr>
  </w:style>
  <w:style w:type="paragraph" w:customStyle="1" w:styleId="114">
    <w:name w:val="附录三级无标题条"/>
    <w:basedOn w:val="113"/>
    <w:next w:val="43"/>
    <w:qFormat/>
    <w:uiPriority w:val="0"/>
    <w:pPr>
      <w:outlineLvl w:val="4"/>
    </w:pPr>
  </w:style>
  <w:style w:type="paragraph" w:customStyle="1" w:styleId="115">
    <w:name w:val="附录四级无标题条"/>
    <w:basedOn w:val="114"/>
    <w:next w:val="43"/>
    <w:qFormat/>
    <w:uiPriority w:val="0"/>
    <w:pPr>
      <w:outlineLvl w:val="5"/>
    </w:pPr>
  </w:style>
  <w:style w:type="paragraph" w:customStyle="1" w:styleId="116">
    <w:name w:val="附录图"/>
    <w:next w:val="43"/>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17">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18">
    <w:name w:val="附录五级无标题条"/>
    <w:basedOn w:val="115"/>
    <w:next w:val="43"/>
    <w:qFormat/>
    <w:uiPriority w:val="0"/>
    <w:pPr>
      <w:outlineLvl w:val="6"/>
    </w:pPr>
  </w:style>
  <w:style w:type="paragraph" w:customStyle="1" w:styleId="119">
    <w:name w:val="附录性质"/>
    <w:basedOn w:val="1"/>
    <w:qFormat/>
    <w:uiPriority w:val="0"/>
    <w:pPr>
      <w:widowControl/>
      <w:adjustRightInd/>
      <w:jc w:val="center"/>
    </w:pPr>
    <w:rPr>
      <w:rFonts w:ascii="黑体" w:eastAsia="黑体"/>
    </w:rPr>
  </w:style>
  <w:style w:type="paragraph" w:customStyle="1" w:styleId="120">
    <w:name w:val="附录一级无标题条"/>
    <w:basedOn w:val="73"/>
    <w:next w:val="43"/>
    <w:qFormat/>
    <w:uiPriority w:val="0"/>
    <w:pPr>
      <w:autoSpaceDN w:val="0"/>
      <w:outlineLvl w:val="2"/>
    </w:pPr>
    <w:rPr>
      <w:rFonts w:ascii="宋体" w:eastAsia="宋体"/>
    </w:rPr>
  </w:style>
  <w:style w:type="character" w:customStyle="1" w:styleId="121">
    <w:name w:val="个人答复风格"/>
    <w:qFormat/>
    <w:uiPriority w:val="0"/>
    <w:rPr>
      <w:rFonts w:ascii="Arial" w:hAnsi="Arial" w:eastAsia="宋体" w:cs="Arial"/>
      <w:color w:val="auto"/>
      <w:spacing w:val="0"/>
      <w:sz w:val="20"/>
    </w:rPr>
  </w:style>
  <w:style w:type="character" w:customStyle="1" w:styleId="122">
    <w:name w:val="个人撰写风格"/>
    <w:qFormat/>
    <w:uiPriority w:val="0"/>
    <w:rPr>
      <w:rFonts w:ascii="Arial" w:hAnsi="Arial" w:eastAsia="宋体" w:cs="Arial"/>
      <w:color w:val="auto"/>
      <w:spacing w:val="0"/>
      <w:sz w:val="20"/>
    </w:rPr>
  </w:style>
  <w:style w:type="paragraph" w:customStyle="1" w:styleId="123">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24">
    <w:name w:val="列项——"/>
    <w:qFormat/>
    <w:uiPriority w:val="0"/>
    <w:pPr>
      <w:widowControl w:val="0"/>
      <w:numPr>
        <w:ilvl w:val="0"/>
        <w:numId w:val="22"/>
      </w:numPr>
      <w:jc w:val="both"/>
    </w:pPr>
    <w:rPr>
      <w:rFonts w:ascii="宋体" w:hAnsi="Times New Roman" w:eastAsia="宋体" w:cs="Times New Roman"/>
      <w:sz w:val="21"/>
      <w:lang w:val="en-US" w:eastAsia="zh-CN" w:bidi="ar-SA"/>
    </w:rPr>
  </w:style>
  <w:style w:type="paragraph" w:customStyle="1" w:styleId="125">
    <w:name w:val="列项·"/>
    <w:basedOn w:val="43"/>
    <w:qFormat/>
    <w:uiPriority w:val="0"/>
    <w:pPr>
      <w:tabs>
        <w:tab w:val="left" w:pos="840"/>
      </w:tabs>
    </w:pPr>
  </w:style>
  <w:style w:type="paragraph" w:customStyle="1" w:styleId="126">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27">
    <w:name w:val="目录 21"/>
    <w:basedOn w:val="1"/>
    <w:next w:val="1"/>
    <w:qFormat/>
    <w:uiPriority w:val="0"/>
    <w:pPr>
      <w:adjustRightInd/>
      <w:spacing w:line="240" w:lineRule="auto"/>
      <w:jc w:val="left"/>
    </w:pPr>
    <w:rPr>
      <w:bCs/>
      <w:iCs/>
    </w:rPr>
  </w:style>
  <w:style w:type="paragraph" w:customStyle="1" w:styleId="128">
    <w:name w:val="目录 31"/>
    <w:basedOn w:val="1"/>
    <w:next w:val="1"/>
    <w:qFormat/>
    <w:uiPriority w:val="0"/>
    <w:pPr>
      <w:spacing w:line="240" w:lineRule="auto"/>
    </w:pPr>
    <w:rPr>
      <w:rFonts w:ascii="宋体"/>
      <w:iCs/>
    </w:rPr>
  </w:style>
  <w:style w:type="paragraph" w:customStyle="1" w:styleId="129">
    <w:name w:val="目录 41"/>
    <w:basedOn w:val="1"/>
    <w:next w:val="1"/>
    <w:qFormat/>
    <w:uiPriority w:val="0"/>
    <w:pPr>
      <w:adjustRightInd/>
      <w:spacing w:line="240" w:lineRule="auto"/>
      <w:jc w:val="left"/>
    </w:pPr>
  </w:style>
  <w:style w:type="paragraph" w:customStyle="1" w:styleId="130">
    <w:name w:val="目录 51"/>
    <w:basedOn w:val="1"/>
    <w:next w:val="1"/>
    <w:qFormat/>
    <w:uiPriority w:val="0"/>
    <w:pPr>
      <w:spacing w:line="240" w:lineRule="auto"/>
    </w:pPr>
    <w:rPr>
      <w:rFonts w:ascii="宋体"/>
    </w:rPr>
  </w:style>
  <w:style w:type="paragraph" w:customStyle="1" w:styleId="131">
    <w:name w:val="目录 61"/>
    <w:basedOn w:val="1"/>
    <w:next w:val="1"/>
    <w:qFormat/>
    <w:uiPriority w:val="0"/>
    <w:pPr>
      <w:adjustRightInd/>
      <w:spacing w:line="240" w:lineRule="auto"/>
      <w:jc w:val="left"/>
    </w:pPr>
  </w:style>
  <w:style w:type="paragraph" w:customStyle="1" w:styleId="132">
    <w:name w:val="目录 71"/>
    <w:basedOn w:val="131"/>
    <w:qFormat/>
    <w:uiPriority w:val="0"/>
    <w:pPr>
      <w:ind w:left="1260"/>
    </w:pPr>
  </w:style>
  <w:style w:type="paragraph" w:customStyle="1" w:styleId="133">
    <w:name w:val="目录 81"/>
    <w:basedOn w:val="132"/>
    <w:qFormat/>
    <w:uiPriority w:val="0"/>
    <w:pPr>
      <w:ind w:left="1470"/>
    </w:pPr>
  </w:style>
  <w:style w:type="paragraph" w:customStyle="1" w:styleId="134">
    <w:name w:val="目录 91"/>
    <w:basedOn w:val="133"/>
    <w:qFormat/>
    <w:uiPriority w:val="0"/>
    <w:pPr>
      <w:ind w:left="1680"/>
    </w:pPr>
  </w:style>
  <w:style w:type="paragraph" w:customStyle="1" w:styleId="135">
    <w:name w:val="其他标准称谓"/>
    <w:qFormat/>
    <w:uiPriority w:val="0"/>
    <w:pPr>
      <w:spacing w:line="0" w:lineRule="atLeast"/>
      <w:jc w:val="distribute"/>
    </w:pPr>
    <w:rPr>
      <w:rFonts w:ascii="黑体" w:hAnsi="Times New Roman" w:eastAsia="黑体" w:cs="Times New Roman"/>
      <w:sz w:val="52"/>
      <w:lang w:val="en-US" w:eastAsia="zh-CN" w:bidi="ar-SA"/>
    </w:rPr>
  </w:style>
  <w:style w:type="paragraph" w:customStyle="1" w:styleId="136">
    <w:name w:val="其他发布部门"/>
    <w:basedOn w:val="104"/>
    <w:qFormat/>
    <w:uiPriority w:val="0"/>
    <w:pPr>
      <w:spacing w:line="0" w:lineRule="atLeast"/>
    </w:pPr>
    <w:rPr>
      <w:rFonts w:ascii="黑体" w:eastAsia="黑体"/>
      <w:b w:val="0"/>
    </w:rPr>
  </w:style>
  <w:style w:type="paragraph" w:customStyle="1" w:styleId="137">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38">
    <w:name w:val="三级无标题条"/>
    <w:basedOn w:val="1"/>
    <w:qFormat/>
    <w:uiPriority w:val="0"/>
    <w:pPr>
      <w:numPr>
        <w:ilvl w:val="4"/>
        <w:numId w:val="20"/>
      </w:numPr>
      <w:adjustRightInd/>
      <w:spacing w:line="240" w:lineRule="auto"/>
    </w:pPr>
    <w:rPr>
      <w:rFonts w:ascii="宋体"/>
      <w:szCs w:val="24"/>
    </w:rPr>
  </w:style>
  <w:style w:type="paragraph" w:customStyle="1" w:styleId="139">
    <w:name w:val="实施日期"/>
    <w:basedOn w:val="105"/>
    <w:qFormat/>
    <w:uiPriority w:val="0"/>
    <w:pPr>
      <w:framePr w:xAlign="right"/>
      <w:jc w:val="right"/>
    </w:pPr>
  </w:style>
  <w:style w:type="paragraph" w:customStyle="1" w:styleId="140">
    <w:name w:val="四级无标题条"/>
    <w:basedOn w:val="1"/>
    <w:qFormat/>
    <w:uiPriority w:val="0"/>
    <w:pPr>
      <w:numPr>
        <w:ilvl w:val="5"/>
        <w:numId w:val="20"/>
      </w:numPr>
      <w:adjustRightInd/>
      <w:spacing w:line="240" w:lineRule="auto"/>
    </w:pPr>
    <w:rPr>
      <w:rFonts w:ascii="宋体"/>
      <w:szCs w:val="24"/>
    </w:rPr>
  </w:style>
  <w:style w:type="paragraph" w:customStyle="1" w:styleId="141">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42">
    <w:name w:val="无标题条"/>
    <w:next w:val="43"/>
    <w:qFormat/>
    <w:uiPriority w:val="0"/>
    <w:pPr>
      <w:jc w:val="both"/>
    </w:pPr>
    <w:rPr>
      <w:rFonts w:ascii="宋体" w:hAnsi="Times New Roman" w:eastAsia="宋体" w:cs="Times New Roman"/>
      <w:sz w:val="21"/>
      <w:lang w:val="en-US" w:eastAsia="zh-CN" w:bidi="ar-SA"/>
    </w:rPr>
  </w:style>
  <w:style w:type="paragraph" w:customStyle="1" w:styleId="143">
    <w:name w:val="五级无标题条"/>
    <w:basedOn w:val="1"/>
    <w:qFormat/>
    <w:uiPriority w:val="0"/>
    <w:pPr>
      <w:numPr>
        <w:ilvl w:val="6"/>
        <w:numId w:val="20"/>
      </w:numPr>
      <w:adjustRightInd/>
    </w:pPr>
    <w:rPr>
      <w:szCs w:val="24"/>
    </w:rPr>
  </w:style>
  <w:style w:type="paragraph" w:customStyle="1" w:styleId="144">
    <w:name w:val="一级无标题条"/>
    <w:basedOn w:val="1"/>
    <w:qFormat/>
    <w:uiPriority w:val="0"/>
    <w:pPr>
      <w:numPr>
        <w:ilvl w:val="2"/>
        <w:numId w:val="20"/>
      </w:numPr>
      <w:adjustRightInd/>
      <w:spacing w:before="10" w:after="10" w:line="240" w:lineRule="auto"/>
    </w:pPr>
    <w:rPr>
      <w:rFonts w:ascii="宋体"/>
      <w:szCs w:val="24"/>
    </w:rPr>
  </w:style>
  <w:style w:type="paragraph" w:customStyle="1" w:styleId="145">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46">
    <w:name w:val="注×:后续"/>
    <w:basedOn w:val="145"/>
    <w:qFormat/>
    <w:uiPriority w:val="0"/>
    <w:pPr>
      <w:ind w:left="1406" w:leftChars="0" w:hanging="499" w:firstLineChars="0"/>
    </w:pPr>
  </w:style>
  <w:style w:type="paragraph" w:customStyle="1" w:styleId="147">
    <w:name w:val="标准文件_一级无标题"/>
    <w:basedOn w:val="90"/>
    <w:qFormat/>
    <w:uiPriority w:val="0"/>
    <w:pPr>
      <w:spacing w:before="0" w:beforeLines="0" w:after="0" w:afterLines="0"/>
      <w:ind w:left="283"/>
      <w:outlineLvl w:val="9"/>
    </w:pPr>
    <w:rPr>
      <w:rFonts w:ascii="宋体" w:eastAsia="宋体"/>
    </w:rPr>
  </w:style>
  <w:style w:type="paragraph" w:customStyle="1" w:styleId="148">
    <w:name w:val="标准文件_五级无标题"/>
    <w:basedOn w:val="88"/>
    <w:qFormat/>
    <w:uiPriority w:val="0"/>
    <w:pPr>
      <w:spacing w:before="0" w:beforeLines="0" w:after="0" w:afterLines="0"/>
      <w:outlineLvl w:val="9"/>
    </w:pPr>
    <w:rPr>
      <w:rFonts w:ascii="宋体" w:eastAsia="宋体"/>
    </w:rPr>
  </w:style>
  <w:style w:type="paragraph" w:customStyle="1" w:styleId="149">
    <w:name w:val="标准文件_三级无标题"/>
    <w:basedOn w:val="80"/>
    <w:qFormat/>
    <w:uiPriority w:val="0"/>
    <w:pPr>
      <w:spacing w:before="0" w:beforeLines="0" w:after="0" w:afterLines="0"/>
      <w:outlineLvl w:val="9"/>
    </w:pPr>
    <w:rPr>
      <w:rFonts w:ascii="宋体" w:eastAsia="宋体"/>
    </w:rPr>
  </w:style>
  <w:style w:type="paragraph" w:customStyle="1" w:styleId="150">
    <w:name w:val="标准文件_二级无标题"/>
    <w:basedOn w:val="52"/>
    <w:qFormat/>
    <w:uiPriority w:val="0"/>
    <w:pPr>
      <w:spacing w:before="0" w:beforeLines="0" w:after="0" w:afterLines="0"/>
      <w:outlineLvl w:val="9"/>
    </w:pPr>
    <w:rPr>
      <w:rFonts w:ascii="宋体" w:eastAsia="宋体"/>
    </w:rPr>
  </w:style>
  <w:style w:type="paragraph" w:customStyle="1" w:styleId="151">
    <w:name w:val="标准_四级无标题"/>
    <w:basedOn w:val="84"/>
    <w:next w:val="43"/>
    <w:qFormat/>
    <w:uiPriority w:val="0"/>
    <w:rPr>
      <w:rFonts w:eastAsia="宋体"/>
    </w:rPr>
  </w:style>
  <w:style w:type="paragraph" w:customStyle="1" w:styleId="152">
    <w:name w:val="标准文件_四级无标题"/>
    <w:basedOn w:val="84"/>
    <w:qFormat/>
    <w:uiPriority w:val="0"/>
    <w:pPr>
      <w:spacing w:before="0" w:beforeLines="0" w:after="0" w:afterLines="0"/>
      <w:outlineLvl w:val="9"/>
    </w:pPr>
    <w:rPr>
      <w:rFonts w:ascii="宋体" w:eastAsia="宋体"/>
      <w:szCs w:val="52"/>
    </w:rPr>
  </w:style>
  <w:style w:type="paragraph" w:customStyle="1" w:styleId="153">
    <w:name w:val="标准文件_大写罗马数字编号列项"/>
    <w:basedOn w:val="43"/>
    <w:qFormat/>
    <w:uiPriority w:val="0"/>
    <w:pPr>
      <w:numPr>
        <w:ilvl w:val="0"/>
        <w:numId w:val="23"/>
      </w:numPr>
      <w:ind w:firstLine="0" w:firstLineChars="0"/>
    </w:pPr>
    <w:rPr>
      <w:rFonts w:ascii="Times New Roman" w:cs="Arial"/>
      <w:szCs w:val="28"/>
    </w:rPr>
  </w:style>
  <w:style w:type="paragraph" w:customStyle="1" w:styleId="154">
    <w:name w:val="标准文件_小写罗马数字编号列项"/>
    <w:basedOn w:val="43"/>
    <w:qFormat/>
    <w:uiPriority w:val="0"/>
    <w:pPr>
      <w:numPr>
        <w:ilvl w:val="0"/>
        <w:numId w:val="24"/>
      </w:numPr>
      <w:ind w:firstLine="0" w:firstLineChars="0"/>
    </w:pPr>
    <w:rPr>
      <w:rFonts w:cs="Arial"/>
      <w:szCs w:val="28"/>
    </w:rPr>
  </w:style>
  <w:style w:type="paragraph" w:customStyle="1" w:styleId="155">
    <w:name w:val="标准文件_附录标题"/>
    <w:basedOn w:val="63"/>
    <w:qFormat/>
    <w:uiPriority w:val="0"/>
    <w:pPr>
      <w:numPr>
        <w:ilvl w:val="0"/>
        <w:numId w:val="0"/>
      </w:numPr>
      <w:spacing w:after="280" w:afterLines="0"/>
      <w:outlineLvl w:val="9"/>
    </w:pPr>
  </w:style>
  <w:style w:type="paragraph" w:customStyle="1" w:styleId="156">
    <w:name w:val="标准文件_二级项"/>
    <w:qFormat/>
    <w:uiPriority w:val="0"/>
    <w:rPr>
      <w:rFonts w:ascii="宋体" w:hAnsi="Times New Roman" w:eastAsia="宋体" w:cs="Times New Roman"/>
      <w:sz w:val="21"/>
      <w:lang w:val="en-US" w:eastAsia="zh-CN" w:bidi="ar-SA"/>
    </w:rPr>
  </w:style>
  <w:style w:type="paragraph" w:customStyle="1" w:styleId="157">
    <w:name w:val="标准文件_三级项"/>
    <w:basedOn w:val="1"/>
    <w:qFormat/>
    <w:uiPriority w:val="0"/>
    <w:pPr>
      <w:numPr>
        <w:ilvl w:val="2"/>
        <w:numId w:val="21"/>
      </w:numPr>
      <w:spacing w:line="300" w:lineRule="exact"/>
    </w:pPr>
    <w:rPr>
      <w:rFonts w:ascii="Times New Roman" w:hAnsi="Times New Roman"/>
    </w:rPr>
  </w:style>
  <w:style w:type="paragraph" w:customStyle="1" w:styleId="158">
    <w:name w:val="图表脚注说明"/>
    <w:basedOn w:val="1"/>
    <w:next w:val="43"/>
    <w:qFormat/>
    <w:uiPriority w:val="0"/>
    <w:pPr>
      <w:numPr>
        <w:ilvl w:val="0"/>
        <w:numId w:val="25"/>
      </w:numPr>
      <w:adjustRightInd/>
      <w:spacing w:line="240" w:lineRule="auto"/>
      <w:ind w:left="783"/>
    </w:pPr>
    <w:rPr>
      <w:rFonts w:ascii="宋体"/>
      <w:sz w:val="18"/>
      <w:szCs w:val="18"/>
    </w:rPr>
  </w:style>
  <w:style w:type="paragraph" w:customStyle="1" w:styleId="159">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60">
    <w:name w:val="标准文件_索引字母"/>
    <w:next w:val="43"/>
    <w:qFormat/>
    <w:uiPriority w:val="0"/>
    <w:pPr>
      <w:jc w:val="center"/>
    </w:pPr>
    <w:rPr>
      <w:rFonts w:ascii="宋体" w:hAnsi="宋体" w:eastAsia="Times New Roman" w:cs="Times New Roman"/>
      <w:b/>
      <w:kern w:val="2"/>
      <w:sz w:val="21"/>
      <w:lang w:val="en-US" w:eastAsia="zh-CN" w:bidi="ar-SA"/>
    </w:rPr>
  </w:style>
  <w:style w:type="paragraph" w:customStyle="1" w:styleId="161">
    <w:name w:val="标准文件_附录前"/>
    <w:next w:val="43"/>
    <w:qFormat/>
    <w:uiPriority w:val="0"/>
    <w:pPr>
      <w:spacing w:line="20" w:lineRule="atLeast"/>
      <w:ind w:firstLine="200"/>
    </w:pPr>
    <w:rPr>
      <w:rFonts w:ascii="宋体" w:hAnsi="Times New Roman" w:eastAsia="宋体" w:cs="Times New Roman"/>
      <w:kern w:val="2"/>
      <w:sz w:val="10"/>
      <w:lang w:val="en-US" w:eastAsia="zh-CN" w:bidi="ar-SA"/>
    </w:rPr>
  </w:style>
  <w:style w:type="paragraph" w:customStyle="1" w:styleId="162">
    <w:name w:val="标准文件_正文标准名称"/>
    <w:qFormat/>
    <w:uiPriority w:val="0"/>
    <w:pPr>
      <w:spacing w:before="20" w:beforeLines="20" w:after="640" w:line="400" w:lineRule="exact"/>
      <w:jc w:val="center"/>
    </w:pPr>
    <w:rPr>
      <w:rFonts w:ascii="黑体" w:hAnsi="Times New Roman" w:eastAsia="黑体" w:cs="Times New Roman"/>
      <w:kern w:val="2"/>
      <w:sz w:val="32"/>
      <w:szCs w:val="32"/>
      <w:lang w:val="en-US" w:eastAsia="zh-CN" w:bidi="ar-SA"/>
    </w:rPr>
  </w:style>
  <w:style w:type="paragraph" w:customStyle="1" w:styleId="163">
    <w:name w:val="标准文件_表格"/>
    <w:basedOn w:val="43"/>
    <w:qFormat/>
    <w:uiPriority w:val="0"/>
    <w:pPr>
      <w:ind w:firstLine="0" w:firstLineChars="0"/>
      <w:jc w:val="center"/>
    </w:pPr>
    <w:rPr>
      <w:sz w:val="18"/>
    </w:rPr>
  </w:style>
  <w:style w:type="paragraph" w:customStyle="1" w:styleId="164">
    <w:name w:val="标准文件_注："/>
    <w:next w:val="43"/>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65">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66">
    <w:name w:val="标准文件_示例："/>
    <w:next w:val="167"/>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67">
    <w:name w:val="标准文件_示例内容"/>
    <w:basedOn w:val="43"/>
    <w:qFormat/>
    <w:uiPriority w:val="0"/>
    <w:rPr>
      <w:sz w:val="18"/>
    </w:rPr>
  </w:style>
  <w:style w:type="paragraph" w:customStyle="1" w:styleId="168">
    <w:name w:val="标准文件_示例×："/>
    <w:basedOn w:val="1"/>
    <w:next w:val="167"/>
    <w:qFormat/>
    <w:uiPriority w:val="0"/>
    <w:pPr>
      <w:widowControl/>
      <w:numPr>
        <w:ilvl w:val="0"/>
        <w:numId w:val="29"/>
      </w:numPr>
      <w:adjustRightInd/>
      <w:spacing w:line="240" w:lineRule="auto"/>
    </w:pPr>
    <w:rPr>
      <w:rFonts w:ascii="宋体"/>
      <w:kern w:val="0"/>
      <w:sz w:val="18"/>
      <w:szCs w:val="18"/>
    </w:rPr>
  </w:style>
  <w:style w:type="paragraph" w:customStyle="1" w:styleId="169">
    <w:name w:val="标准文件_表格续"/>
    <w:basedOn w:val="43"/>
    <w:next w:val="43"/>
    <w:qFormat/>
    <w:uiPriority w:val="0"/>
    <w:pPr>
      <w:jc w:val="center"/>
    </w:pPr>
    <w:rPr>
      <w:rFonts w:ascii="黑体" w:eastAsia="黑体"/>
    </w:rPr>
  </w:style>
  <w:style w:type="character" w:styleId="170">
    <w:name w:val="Placeholder Text"/>
    <w:qFormat/>
    <w:uiPriority w:val="0"/>
    <w:rPr>
      <w:color w:val="808080"/>
    </w:rPr>
  </w:style>
  <w:style w:type="paragraph" w:customStyle="1" w:styleId="171">
    <w:name w:val="标准文件_二级项2"/>
    <w:basedOn w:val="43"/>
    <w:qFormat/>
    <w:uiPriority w:val="0"/>
    <w:pPr>
      <w:numPr>
        <w:ilvl w:val="1"/>
        <w:numId w:val="21"/>
      </w:numPr>
      <w:ind w:left="1271" w:hanging="420" w:firstLineChars="0"/>
    </w:pPr>
  </w:style>
  <w:style w:type="paragraph" w:customStyle="1" w:styleId="172">
    <w:name w:val="标准文件_三级项2"/>
    <w:basedOn w:val="43"/>
    <w:qFormat/>
    <w:uiPriority w:val="0"/>
    <w:pPr>
      <w:numPr>
        <w:ilvl w:val="0"/>
        <w:numId w:val="30"/>
      </w:numPr>
      <w:spacing w:line="300" w:lineRule="exact"/>
      <w:ind w:left="1276" w:hanging="425" w:firstLineChars="0"/>
    </w:pPr>
    <w:rPr>
      <w:rFonts w:ascii="Times New Roman"/>
    </w:rPr>
  </w:style>
  <w:style w:type="paragraph" w:customStyle="1" w:styleId="173">
    <w:name w:val="标准文件_一级项2"/>
    <w:basedOn w:val="43"/>
    <w:qFormat/>
    <w:uiPriority w:val="0"/>
    <w:pPr>
      <w:numPr>
        <w:ilvl w:val="0"/>
        <w:numId w:val="31"/>
      </w:numPr>
      <w:spacing w:line="300" w:lineRule="exact"/>
      <w:ind w:left="1271" w:hanging="420" w:firstLineChars="0"/>
    </w:pPr>
    <w:rPr>
      <w:rFonts w:ascii="Times New Roman"/>
    </w:rPr>
  </w:style>
  <w:style w:type="paragraph" w:customStyle="1" w:styleId="174">
    <w:name w:val="标准文件_提示"/>
    <w:basedOn w:val="43"/>
    <w:next w:val="43"/>
    <w:qFormat/>
    <w:uiPriority w:val="0"/>
    <w:rPr>
      <w:rFonts w:ascii="黑体" w:eastAsia="黑体"/>
    </w:rPr>
  </w:style>
  <w:style w:type="character" w:customStyle="1" w:styleId="175">
    <w:name w:val="标准文件_来源"/>
    <w:qFormat/>
    <w:uiPriority w:val="0"/>
    <w:rPr>
      <w:rFonts w:eastAsia="宋体"/>
      <w:sz w:val="21"/>
    </w:rPr>
  </w:style>
  <w:style w:type="paragraph" w:customStyle="1" w:styleId="176">
    <w:name w:val="标准文件_图表说明"/>
    <w:qFormat/>
    <w:uiPriority w:val="0"/>
    <w:pPr>
      <w:spacing w:line="276" w:lineRule="auto"/>
      <w:ind w:firstLine="420"/>
    </w:pPr>
    <w:rPr>
      <w:rFonts w:ascii="宋体" w:hAnsi="Times New Roman" w:eastAsia="宋体" w:cs="Times New Roman"/>
      <w:kern w:val="2"/>
      <w:sz w:val="18"/>
      <w:lang w:val="en-US" w:eastAsia="zh-CN" w:bidi="ar-SA"/>
    </w:rPr>
  </w:style>
  <w:style w:type="paragraph" w:customStyle="1" w:styleId="177">
    <w:name w:val="其他发布日期"/>
    <w:basedOn w:val="105"/>
    <w:qFormat/>
    <w:uiPriority w:val="0"/>
    <w:pPr>
      <w:framePr w:w="3997" w:h="471" w:hRule="exact" w:vSpace="181" w:vAnchor="page" w:hAnchor="page" w:x="1419" w:y="14097"/>
    </w:pPr>
  </w:style>
  <w:style w:type="paragraph" w:customStyle="1" w:styleId="178">
    <w:name w:val="其他实施日期"/>
    <w:basedOn w:val="139"/>
    <w:qFormat/>
    <w:uiPriority w:val="0"/>
    <w:pPr>
      <w:framePr w:w="3997" w:h="471" w:hRule="exact" w:vSpace="181" w:vAnchor="page" w:hAnchor="page" w:x="7089" w:y="14097"/>
    </w:pPr>
  </w:style>
  <w:style w:type="paragraph" w:customStyle="1" w:styleId="179">
    <w:name w:val="标准文件_文件编号"/>
    <w:basedOn w:val="43"/>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80">
    <w:name w:val="标准文件_替换文件编号"/>
    <w:basedOn w:val="179"/>
    <w:qFormat/>
    <w:uiPriority w:val="0"/>
    <w:pPr>
      <w:spacing w:before="57"/>
    </w:pPr>
    <w:rPr>
      <w:sz w:val="21"/>
    </w:rPr>
  </w:style>
  <w:style w:type="paragraph" w:customStyle="1" w:styleId="181">
    <w:name w:val="标准文件_文件名称"/>
    <w:basedOn w:val="43"/>
    <w:next w:val="43"/>
    <w:qFormat/>
    <w:uiPriority w:val="0"/>
    <w:pPr>
      <w:framePr w:w="9639" w:h="6976" w:hRule="exact" w:wrap="around" w:vAnchor="page" w:hAnchor="page" w:y="6408"/>
      <w:autoSpaceDE/>
      <w:autoSpaceDN/>
      <w:spacing w:line="700" w:lineRule="exact"/>
      <w:ind w:firstLine="0" w:firstLineChars="0"/>
      <w:jc w:val="center"/>
    </w:pPr>
    <w:rPr>
      <w:rFonts w:ascii="黑体" w:eastAsia="黑体"/>
      <w:bCs/>
      <w:sz w:val="52"/>
    </w:rPr>
  </w:style>
  <w:style w:type="paragraph" w:customStyle="1" w:styleId="182">
    <w:name w:val="标准文件_附录图标号"/>
    <w:basedOn w:val="43"/>
    <w:next w:val="43"/>
    <w:qFormat/>
    <w:uiPriority w:val="0"/>
    <w:pPr>
      <w:numPr>
        <w:ilvl w:val="0"/>
        <w:numId w:val="6"/>
      </w:numPr>
      <w:spacing w:line="14" w:lineRule="exact"/>
      <w:ind w:firstLine="0" w:firstLineChars="0"/>
      <w:jc w:val="center"/>
    </w:pPr>
    <w:rPr>
      <w:rFonts w:ascii="黑体" w:eastAsia="黑体"/>
      <w:vanish/>
      <w:sz w:val="2"/>
      <w:szCs w:val="21"/>
    </w:rPr>
  </w:style>
  <w:style w:type="paragraph" w:customStyle="1" w:styleId="183">
    <w:name w:val="标准文件_附录表标号"/>
    <w:basedOn w:val="43"/>
    <w:next w:val="43"/>
    <w:qFormat/>
    <w:uiPriority w:val="0"/>
    <w:pPr>
      <w:numPr>
        <w:ilvl w:val="0"/>
        <w:numId w:val="5"/>
      </w:numPr>
      <w:spacing w:line="14" w:lineRule="exact"/>
      <w:ind w:firstLine="0" w:firstLineChars="0"/>
      <w:jc w:val="center"/>
    </w:pPr>
    <w:rPr>
      <w:rFonts w:eastAsia="黑体"/>
      <w:vanish/>
      <w:sz w:val="2"/>
    </w:rPr>
  </w:style>
  <w:style w:type="paragraph" w:customStyle="1" w:styleId="184">
    <w:name w:val="标准文件_引言一级条标题"/>
    <w:basedOn w:val="43"/>
    <w:next w:val="43"/>
    <w:qFormat/>
    <w:uiPriority w:val="0"/>
    <w:pPr>
      <w:numPr>
        <w:ilvl w:val="1"/>
        <w:numId w:val="8"/>
      </w:numPr>
      <w:spacing w:before="50" w:beforeLines="50" w:after="50" w:afterLines="50"/>
      <w:ind w:firstLineChars="0"/>
    </w:pPr>
    <w:rPr>
      <w:rFonts w:ascii="黑体" w:eastAsia="黑体"/>
    </w:rPr>
  </w:style>
  <w:style w:type="paragraph" w:customStyle="1" w:styleId="185">
    <w:name w:val="标准文件_引言二级条标题"/>
    <w:basedOn w:val="43"/>
    <w:next w:val="43"/>
    <w:qFormat/>
    <w:uiPriority w:val="0"/>
    <w:pPr>
      <w:numPr>
        <w:ilvl w:val="2"/>
        <w:numId w:val="8"/>
      </w:numPr>
      <w:spacing w:before="50" w:beforeLines="50" w:after="50" w:afterLines="50"/>
      <w:ind w:firstLineChars="0"/>
    </w:pPr>
    <w:rPr>
      <w:rFonts w:ascii="黑体" w:eastAsia="黑体"/>
    </w:rPr>
  </w:style>
  <w:style w:type="paragraph" w:customStyle="1" w:styleId="186">
    <w:name w:val="标准文件_引言三级条标题"/>
    <w:basedOn w:val="43"/>
    <w:next w:val="43"/>
    <w:qFormat/>
    <w:uiPriority w:val="0"/>
    <w:pPr>
      <w:numPr>
        <w:ilvl w:val="3"/>
        <w:numId w:val="8"/>
      </w:numPr>
      <w:spacing w:before="50" w:beforeLines="50" w:after="50" w:afterLines="50"/>
      <w:ind w:firstLineChars="0"/>
    </w:pPr>
    <w:rPr>
      <w:rFonts w:ascii="黑体" w:eastAsia="黑体"/>
    </w:rPr>
  </w:style>
  <w:style w:type="paragraph" w:customStyle="1" w:styleId="187">
    <w:name w:val="标准文件_引言四级条标题"/>
    <w:basedOn w:val="43"/>
    <w:next w:val="43"/>
    <w:qFormat/>
    <w:uiPriority w:val="0"/>
    <w:pPr>
      <w:numPr>
        <w:ilvl w:val="4"/>
        <w:numId w:val="8"/>
      </w:numPr>
      <w:spacing w:before="50" w:beforeLines="50" w:after="50" w:afterLines="50"/>
      <w:ind w:firstLineChars="0"/>
    </w:pPr>
    <w:rPr>
      <w:rFonts w:ascii="黑体" w:eastAsia="黑体"/>
    </w:rPr>
  </w:style>
  <w:style w:type="paragraph" w:customStyle="1" w:styleId="188">
    <w:name w:val="标准文件_引言五级条标题"/>
    <w:basedOn w:val="43"/>
    <w:next w:val="43"/>
    <w:qFormat/>
    <w:uiPriority w:val="0"/>
    <w:pPr>
      <w:numPr>
        <w:ilvl w:val="5"/>
        <w:numId w:val="8"/>
      </w:numPr>
      <w:spacing w:before="50" w:beforeLines="50" w:after="50" w:afterLines="50"/>
      <w:ind w:firstLineChars="0"/>
    </w:pPr>
    <w:rPr>
      <w:rFonts w:ascii="黑体" w:eastAsia="黑体"/>
    </w:rPr>
  </w:style>
  <w:style w:type="paragraph" w:customStyle="1" w:styleId="189">
    <w:name w:val="标准文件_注后"/>
    <w:basedOn w:val="43"/>
    <w:qFormat/>
    <w:uiPriority w:val="0"/>
    <w:pPr>
      <w:ind w:left="811" w:firstLine="0" w:firstLineChars="0"/>
    </w:pPr>
    <w:rPr>
      <w:sz w:val="18"/>
    </w:rPr>
  </w:style>
  <w:style w:type="paragraph" w:customStyle="1" w:styleId="190">
    <w:name w:val="标准文件_注X后"/>
    <w:basedOn w:val="43"/>
    <w:qFormat/>
    <w:uiPriority w:val="0"/>
    <w:pPr>
      <w:ind w:left="811" w:firstLine="0" w:firstLineChars="0"/>
    </w:pPr>
    <w:rPr>
      <w:sz w:val="18"/>
    </w:rPr>
  </w:style>
  <w:style w:type="paragraph" w:customStyle="1" w:styleId="191">
    <w:name w:val="标准文件_示例后"/>
    <w:basedOn w:val="43"/>
    <w:qFormat/>
    <w:uiPriority w:val="0"/>
    <w:pPr>
      <w:ind w:left="964" w:firstLine="0" w:firstLineChars="0"/>
    </w:pPr>
    <w:rPr>
      <w:sz w:val="18"/>
    </w:rPr>
  </w:style>
  <w:style w:type="paragraph" w:customStyle="1" w:styleId="192">
    <w:name w:val="标准文件_示例X后"/>
    <w:basedOn w:val="43"/>
    <w:qFormat/>
    <w:uiPriority w:val="0"/>
    <w:pPr>
      <w:ind w:left="1049" w:firstLine="0" w:firstLineChars="0"/>
    </w:pPr>
    <w:rPr>
      <w:sz w:val="18"/>
    </w:rPr>
  </w:style>
  <w:style w:type="paragraph" w:customStyle="1" w:styleId="193">
    <w:name w:val="标准文件_索引项"/>
    <w:basedOn w:val="43"/>
    <w:next w:val="43"/>
    <w:qFormat/>
    <w:uiPriority w:val="0"/>
    <w:pPr>
      <w:tabs>
        <w:tab w:val="right" w:leader="dot" w:pos="9356"/>
      </w:tabs>
      <w:ind w:left="210" w:hanging="210" w:firstLineChars="0"/>
      <w:jc w:val="left"/>
    </w:pPr>
  </w:style>
  <w:style w:type="paragraph" w:customStyle="1" w:styleId="194">
    <w:name w:val="标准文件_附录一级无标题"/>
    <w:basedOn w:val="65"/>
    <w:qFormat/>
    <w:uiPriority w:val="0"/>
    <w:pPr>
      <w:spacing w:before="0" w:beforeLines="0" w:after="0" w:afterLines="0" w:line="276" w:lineRule="auto"/>
      <w:outlineLvl w:val="9"/>
    </w:pPr>
    <w:rPr>
      <w:rFonts w:ascii="宋体" w:eastAsia="宋体"/>
    </w:rPr>
  </w:style>
  <w:style w:type="paragraph" w:customStyle="1" w:styleId="195">
    <w:name w:val="标准文件_附录二级无标题"/>
    <w:basedOn w:val="66"/>
    <w:qFormat/>
    <w:uiPriority w:val="0"/>
    <w:pPr>
      <w:spacing w:before="0" w:beforeLines="0" w:after="0" w:afterLines="0" w:line="276" w:lineRule="auto"/>
      <w:outlineLvl w:val="9"/>
    </w:pPr>
    <w:rPr>
      <w:rFonts w:ascii="宋体" w:eastAsia="宋体"/>
    </w:rPr>
  </w:style>
  <w:style w:type="paragraph" w:customStyle="1" w:styleId="196">
    <w:name w:val="标准文件_附录三级无标题"/>
    <w:basedOn w:val="68"/>
    <w:qFormat/>
    <w:uiPriority w:val="0"/>
    <w:pPr>
      <w:spacing w:before="0" w:beforeLines="0" w:after="0" w:afterLines="0" w:line="276" w:lineRule="auto"/>
      <w:outlineLvl w:val="9"/>
    </w:pPr>
    <w:rPr>
      <w:rFonts w:ascii="宋体" w:eastAsia="宋体"/>
    </w:rPr>
  </w:style>
  <w:style w:type="paragraph" w:customStyle="1" w:styleId="197">
    <w:name w:val="标准文件_附录四级无标题"/>
    <w:basedOn w:val="69"/>
    <w:qFormat/>
    <w:uiPriority w:val="0"/>
    <w:pPr>
      <w:spacing w:before="0" w:beforeLines="0" w:after="0" w:afterLines="0" w:line="276" w:lineRule="auto"/>
      <w:outlineLvl w:val="9"/>
    </w:pPr>
    <w:rPr>
      <w:rFonts w:ascii="宋体" w:eastAsia="宋体"/>
    </w:rPr>
  </w:style>
  <w:style w:type="paragraph" w:customStyle="1" w:styleId="198">
    <w:name w:val="标准文件_附录五级无标题"/>
    <w:basedOn w:val="71"/>
    <w:qFormat/>
    <w:uiPriority w:val="0"/>
    <w:pPr>
      <w:spacing w:before="0" w:beforeLines="0" w:after="0" w:afterLines="0" w:line="276" w:lineRule="auto"/>
      <w:outlineLvl w:val="9"/>
    </w:pPr>
    <w:rPr>
      <w:rFonts w:ascii="宋体" w:eastAsia="宋体"/>
    </w:rPr>
  </w:style>
  <w:style w:type="paragraph" w:customStyle="1" w:styleId="199">
    <w:name w:val="标准文件_引言一级无标题"/>
    <w:basedOn w:val="184"/>
    <w:next w:val="43"/>
    <w:qFormat/>
    <w:uiPriority w:val="0"/>
    <w:pPr>
      <w:spacing w:before="0" w:beforeLines="0" w:after="0" w:afterLines="0" w:line="276" w:lineRule="auto"/>
    </w:pPr>
    <w:rPr>
      <w:rFonts w:ascii="宋体" w:eastAsia="宋体"/>
    </w:rPr>
  </w:style>
  <w:style w:type="paragraph" w:customStyle="1" w:styleId="200">
    <w:name w:val="标准文件_引言二级无标题"/>
    <w:basedOn w:val="185"/>
    <w:next w:val="43"/>
    <w:qFormat/>
    <w:uiPriority w:val="0"/>
    <w:pPr>
      <w:spacing w:before="0" w:beforeLines="0" w:after="0" w:afterLines="0" w:line="276" w:lineRule="auto"/>
    </w:pPr>
    <w:rPr>
      <w:rFonts w:ascii="宋体" w:eastAsia="宋体"/>
    </w:rPr>
  </w:style>
  <w:style w:type="paragraph" w:customStyle="1" w:styleId="201">
    <w:name w:val="标准文件_引言三级无标题"/>
    <w:basedOn w:val="186"/>
    <w:next w:val="43"/>
    <w:qFormat/>
    <w:uiPriority w:val="0"/>
    <w:pPr>
      <w:spacing w:before="0" w:beforeLines="0" w:after="0" w:afterLines="0" w:line="276" w:lineRule="auto"/>
    </w:pPr>
    <w:rPr>
      <w:rFonts w:ascii="宋体" w:eastAsia="宋体"/>
    </w:rPr>
  </w:style>
  <w:style w:type="paragraph" w:customStyle="1" w:styleId="202">
    <w:name w:val="标准文件_引言四级无标题"/>
    <w:basedOn w:val="187"/>
    <w:next w:val="43"/>
    <w:qFormat/>
    <w:uiPriority w:val="0"/>
    <w:pPr>
      <w:spacing w:before="0" w:beforeLines="0" w:after="0" w:afterLines="0" w:line="276" w:lineRule="auto"/>
    </w:pPr>
    <w:rPr>
      <w:rFonts w:ascii="宋体" w:eastAsia="宋体"/>
    </w:rPr>
  </w:style>
  <w:style w:type="paragraph" w:customStyle="1" w:styleId="203">
    <w:name w:val="标准文件_引言五级无标题"/>
    <w:basedOn w:val="188"/>
    <w:next w:val="43"/>
    <w:qFormat/>
    <w:uiPriority w:val="0"/>
    <w:pPr>
      <w:spacing w:before="0" w:beforeLines="0" w:after="0" w:afterLines="0" w:line="276" w:lineRule="auto"/>
    </w:pPr>
    <w:rPr>
      <w:rFonts w:ascii="宋体" w:eastAsia="宋体"/>
    </w:rPr>
  </w:style>
  <w:style w:type="paragraph" w:customStyle="1" w:styleId="204">
    <w:name w:val="标准文件_索引标题"/>
    <w:basedOn w:val="50"/>
    <w:next w:val="43"/>
    <w:qFormat/>
    <w:uiPriority w:val="0"/>
  </w:style>
  <w:style w:type="paragraph" w:customStyle="1" w:styleId="205">
    <w:name w:val="标准文件_脚注内容"/>
    <w:basedOn w:val="43"/>
    <w:qFormat/>
    <w:uiPriority w:val="0"/>
    <w:pPr>
      <w:ind w:left="400" w:leftChars="200" w:hanging="200" w:hangingChars="200"/>
    </w:pPr>
    <w:rPr>
      <w:sz w:val="15"/>
    </w:rPr>
  </w:style>
  <w:style w:type="paragraph" w:customStyle="1" w:styleId="206">
    <w:name w:val="标准文件_术语条一"/>
    <w:basedOn w:val="147"/>
    <w:next w:val="43"/>
    <w:qFormat/>
    <w:uiPriority w:val="0"/>
  </w:style>
  <w:style w:type="paragraph" w:customStyle="1" w:styleId="207">
    <w:name w:val="标准文件_术语条二"/>
    <w:basedOn w:val="150"/>
    <w:next w:val="43"/>
    <w:qFormat/>
    <w:uiPriority w:val="0"/>
  </w:style>
  <w:style w:type="paragraph" w:customStyle="1" w:styleId="208">
    <w:name w:val="标准文件_术语条三"/>
    <w:basedOn w:val="149"/>
    <w:next w:val="43"/>
    <w:qFormat/>
    <w:uiPriority w:val="0"/>
  </w:style>
  <w:style w:type="paragraph" w:customStyle="1" w:styleId="209">
    <w:name w:val="标准文件_术语条四"/>
    <w:basedOn w:val="152"/>
    <w:next w:val="43"/>
    <w:qFormat/>
    <w:uiPriority w:val="0"/>
  </w:style>
  <w:style w:type="paragraph" w:customStyle="1" w:styleId="210">
    <w:name w:val="标准文件_术语条五"/>
    <w:basedOn w:val="148"/>
    <w:next w:val="43"/>
    <w:qFormat/>
    <w:uiPriority w:val="0"/>
  </w:style>
  <w:style w:type="paragraph" w:customStyle="1" w:styleId="211">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12">
    <w:name w:val="发布"/>
    <w:qFormat/>
    <w:uiPriority w:val="0"/>
    <w:rPr>
      <w:rFonts w:ascii="黑体" w:eastAsia="黑体"/>
      <w:spacing w:val="85"/>
      <w:w w:val="100"/>
      <w:position w:val="3"/>
      <w:sz w:val="28"/>
      <w:szCs w:val="28"/>
    </w:rPr>
  </w:style>
  <w:style w:type="paragraph" w:styleId="213">
    <w:name w:val="List Paragraph"/>
    <w:basedOn w:val="1"/>
    <w:qFormat/>
    <w:uiPriority w:val="0"/>
    <w:pPr>
      <w:autoSpaceDE w:val="0"/>
      <w:autoSpaceDN w:val="0"/>
      <w:adjustRightInd/>
      <w:spacing w:line="240" w:lineRule="auto"/>
      <w:ind w:left="258"/>
      <w:jc w:val="left"/>
    </w:pPr>
    <w:rPr>
      <w:rFonts w:ascii="宋体" w:cs="宋体"/>
      <w:kern w:val="0"/>
      <w:sz w:val="22"/>
      <w:szCs w:val="22"/>
      <w:lang w:bidi="en-US"/>
    </w:rPr>
  </w:style>
  <w:style w:type="paragraph" w:customStyle="1" w:styleId="214">
    <w:name w:val="Table Paragraph"/>
    <w:basedOn w:val="1"/>
    <w:qFormat/>
    <w:uiPriority w:val="0"/>
    <w:pPr>
      <w:autoSpaceDE w:val="0"/>
      <w:autoSpaceDN w:val="0"/>
      <w:adjustRightInd/>
      <w:spacing w:before="38" w:line="240" w:lineRule="auto"/>
      <w:jc w:val="center"/>
    </w:pPr>
    <w:rPr>
      <w:rFonts w:ascii="宋体" w:cs="宋体"/>
      <w:kern w:val="0"/>
      <w:sz w:val="22"/>
      <w:szCs w:val="22"/>
      <w:lang w:bidi="en-U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9" Type="http://schemas.openxmlformats.org/officeDocument/2006/relationships/fontTable" Target="fontTable.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3.jpeg"/><Relationship Id="rId25" Type="http://schemas.openxmlformats.org/officeDocument/2006/relationships/image" Target="media/image2.png"/><Relationship Id="rId24" Type="http://schemas.openxmlformats.org/officeDocument/2006/relationships/image" Target="media/image1.tiff"/><Relationship Id="rId23" Type="http://schemas.openxmlformats.org/officeDocument/2006/relationships/theme" Target="theme/theme1.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PCMI</Company>
  <Pages>12</Pages>
  <Words>6303</Words>
  <Characters>7418</Characters>
  <Lines>65</Lines>
  <Paragraphs>18</Paragraphs>
  <TotalTime>3</TotalTime>
  <ScaleCrop>false</ScaleCrop>
  <LinksUpToDate>false</LinksUpToDate>
  <CharactersWithSpaces>7722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2023-03-14T11:22:00Z</dcterms:created>
  <dc:creator>唐晓菲</dc:creator>
  <dc:description>&lt;config cover="true" show_menu="true" version="1.0.0" doctype="SDKXY"&gt;
&lt;/config&gt;</dc:description>
  <cp:lastModifiedBy>赵彬</cp:lastModifiedBy>
  <cp:lastPrinted>2023-03-24T08:25:00Z</cp:lastPrinted>
  <dcterms:modified xsi:type="dcterms:W3CDTF">2025-07-14T02:09:52Z</dcterms:modified>
  <dc:title>地方标准</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2052-12.1.0.21915</vt:lpwstr>
  </property>
  <property fmtid="{D5CDD505-2E9C-101B-9397-08002B2CF9AE}" pid="16" name="ICV">
    <vt:lpwstr>6D11D4836FD1484AACD783C25E7FC0D2_13</vt:lpwstr>
  </property>
  <property fmtid="{D5CDD505-2E9C-101B-9397-08002B2CF9AE}" pid="17" name="KSOTemplateDocerSaveRecord">
    <vt:lpwstr>eyJoZGlkIjoiMTk4OWU5ZTQyZWYxMjVmZWE2ZGNkYjU3YzZmMzEyNmIiLCJ1c2VySWQiOiI0Mjg4NjI2MjYifQ==</vt:lpwstr>
  </property>
</Properties>
</file>